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3BB42F46" w14:textId="77777777" w:rsidTr="00AD33A8">
        <w:trPr>
          <w:trHeight w:val="282"/>
        </w:trPr>
        <w:tc>
          <w:tcPr>
            <w:tcW w:w="500" w:type="dxa"/>
            <w:vMerge w:val="restart"/>
            <w:tcBorders>
              <w:bottom w:val="nil"/>
            </w:tcBorders>
            <w:textDirection w:val="btLr"/>
          </w:tcPr>
          <w:p w14:paraId="4213FB34"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1398E2F1"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642B305B" wp14:editId="67EB1009">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6B47045A"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1E7ED181"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02380F6B" w14:textId="5DBC94E4"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4430CC">
              <w:rPr>
                <w:rFonts w:cs="Tahoma"/>
                <w:b/>
                <w:bCs/>
                <w:color w:val="365F91" w:themeColor="accent1" w:themeShade="BF"/>
                <w:szCs w:val="22"/>
                <w:lang w:val="es-ES_tradnl"/>
              </w:rPr>
              <w:t>3.2(9)</w:t>
            </w:r>
            <w:r w:rsidR="004430CC" w:rsidRPr="00633FDB">
              <w:rPr>
                <w:rFonts w:cs="Tahoma"/>
                <w:b/>
                <w:bCs/>
                <w:color w:val="365F91" w:themeColor="accent1" w:themeShade="BF"/>
                <w:szCs w:val="22"/>
                <w:lang w:val="es-ES_tradnl"/>
              </w:rPr>
              <w:t xml:space="preserve"> </w:t>
            </w:r>
          </w:p>
        </w:tc>
      </w:tr>
      <w:tr w:rsidR="00041727" w:rsidRPr="00633FDB" w14:paraId="63F15DEF" w14:textId="77777777" w:rsidTr="00AD33A8">
        <w:trPr>
          <w:trHeight w:val="730"/>
        </w:trPr>
        <w:tc>
          <w:tcPr>
            <w:tcW w:w="500" w:type="dxa"/>
            <w:vMerge/>
            <w:tcBorders>
              <w:bottom w:val="nil"/>
            </w:tcBorders>
          </w:tcPr>
          <w:p w14:paraId="0A865B24"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5F631BDD"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7830D86E" w14:textId="22CFBBED" w:rsidR="00041727" w:rsidRPr="00633FDB" w:rsidRDefault="00527225" w:rsidP="00527225">
            <w:pPr>
              <w:pStyle w:val="StyleComplexTahomaComplex11ptAccent1RightAfter-"/>
            </w:pPr>
            <w:r w:rsidRPr="00633FDB">
              <w:t>Presentado por</w:t>
            </w:r>
            <w:r w:rsidR="00041727" w:rsidRPr="00633FDB">
              <w:t>:</w:t>
            </w:r>
            <w:r w:rsidR="00041727" w:rsidRPr="00633FDB">
              <w:br/>
            </w:r>
            <w:r w:rsidR="004430CC">
              <w:rPr>
                <w:bCs/>
                <w:color w:val="365F91"/>
              </w:rPr>
              <w:t>presidente de la INFCOM</w:t>
            </w:r>
          </w:p>
          <w:p w14:paraId="04EBEA6D" w14:textId="0F522C24" w:rsidR="00041727" w:rsidRPr="00633FDB" w:rsidRDefault="004430CC" w:rsidP="00527225">
            <w:pPr>
              <w:pStyle w:val="StyleComplexTahomaComplex11ptAccent1RightAfter-"/>
            </w:pPr>
            <w:r>
              <w:rPr>
                <w:bCs/>
                <w:color w:val="365F91"/>
              </w:rPr>
              <w:t>30</w:t>
            </w:r>
            <w:r w:rsidR="00527225" w:rsidRPr="00633FDB">
              <w:t>.</w:t>
            </w:r>
            <w:r>
              <w:t>XI</w:t>
            </w:r>
            <w:r w:rsidR="00A41E35" w:rsidRPr="00633FDB">
              <w:t>.202</w:t>
            </w:r>
            <w:r w:rsidR="00581CFE">
              <w:t>2</w:t>
            </w:r>
          </w:p>
          <w:p w14:paraId="698D11D1"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3DAD7FF4" w14:textId="338B2ADC" w:rsidR="00C4470F" w:rsidRPr="00633FDB" w:rsidRDefault="001527A3" w:rsidP="00514EAC">
      <w:pPr>
        <w:pStyle w:val="WMOBodyText"/>
        <w:ind w:left="3969" w:hanging="3969"/>
        <w:rPr>
          <w:b/>
        </w:rPr>
      </w:pPr>
      <w:r w:rsidRPr="00633FDB">
        <w:rPr>
          <w:b/>
        </w:rPr>
        <w:t xml:space="preserve">PUNTO </w:t>
      </w:r>
      <w:r w:rsidR="004430CC">
        <w:rPr>
          <w:b/>
        </w:rPr>
        <w:t>3</w:t>
      </w:r>
      <w:r w:rsidRPr="00633FDB">
        <w:rPr>
          <w:b/>
        </w:rPr>
        <w:t xml:space="preserve"> DEL ORDEN DEL DÍA:</w:t>
      </w:r>
      <w:r w:rsidR="00A41E35" w:rsidRPr="00633FDB">
        <w:rPr>
          <w:b/>
        </w:rPr>
        <w:tab/>
      </w:r>
      <w:r w:rsidR="004430CC" w:rsidRPr="004430CC">
        <w:rPr>
          <w:b/>
        </w:rPr>
        <w:t xml:space="preserve">APLICACIÓN DE LAS DECISIONES </w:t>
      </w:r>
      <w:r w:rsidR="004430CC">
        <w:rPr>
          <w:b/>
        </w:rPr>
        <w:br/>
      </w:r>
      <w:r w:rsidR="004430CC" w:rsidRPr="004430CC">
        <w:rPr>
          <w:b/>
        </w:rPr>
        <w:t>DEL CONGRESO: CUESTIONES TÉCNICAS</w:t>
      </w:r>
    </w:p>
    <w:p w14:paraId="44127D38" w14:textId="7755171D" w:rsidR="001527A3" w:rsidRPr="00633FDB" w:rsidRDefault="001527A3" w:rsidP="001527A3">
      <w:pPr>
        <w:pStyle w:val="WMOBodyText"/>
        <w:ind w:left="3969" w:hanging="3969"/>
        <w:rPr>
          <w:b/>
        </w:rPr>
      </w:pPr>
      <w:r w:rsidRPr="00633FDB">
        <w:rPr>
          <w:b/>
        </w:rPr>
        <w:t xml:space="preserve">PUNTO </w:t>
      </w:r>
      <w:r w:rsidR="004430CC">
        <w:rPr>
          <w:b/>
        </w:rPr>
        <w:t>3.2</w:t>
      </w:r>
      <w:r w:rsidRPr="00633FDB">
        <w:rPr>
          <w:b/>
        </w:rPr>
        <w:t>:</w:t>
      </w:r>
      <w:r w:rsidRPr="00633FDB">
        <w:rPr>
          <w:b/>
        </w:rPr>
        <w:tab/>
      </w:r>
      <w:r w:rsidR="004430CC" w:rsidRPr="004430CC">
        <w:rPr>
          <w:b/>
        </w:rPr>
        <w:t xml:space="preserve">Meta a largo plazo 2: Observaciones </w:t>
      </w:r>
      <w:r w:rsidR="004430CC">
        <w:rPr>
          <w:b/>
        </w:rPr>
        <w:br/>
      </w:r>
      <w:r w:rsidR="004430CC" w:rsidRPr="004430CC">
        <w:rPr>
          <w:b/>
        </w:rPr>
        <w:t>y predicciones del sistema Tierra</w:t>
      </w:r>
    </w:p>
    <w:p w14:paraId="76EEAF2C" w14:textId="64889FFA" w:rsidR="00814CC6" w:rsidRPr="00633FDB" w:rsidRDefault="004430CC" w:rsidP="00EC7CF5">
      <w:pPr>
        <w:pStyle w:val="Heading1"/>
        <w:spacing w:before="600" w:after="360"/>
        <w:rPr>
          <w:lang w:val="es-ES_tradnl"/>
        </w:rPr>
      </w:pPr>
      <w:bookmarkStart w:id="0" w:name="_APPENDIX_A:_"/>
      <w:bookmarkEnd w:id="0"/>
      <w:r w:rsidRPr="004430CC">
        <w:rPr>
          <w:lang w:val="es-ES_tradnl"/>
        </w:rPr>
        <w:t xml:space="preserve">Designación de Centros Mundiales de Producción </w:t>
      </w:r>
      <w:r>
        <w:rPr>
          <w:lang w:val="es-ES_tradnl"/>
        </w:rPr>
        <w:br/>
      </w:r>
      <w:r w:rsidRPr="004430CC">
        <w:rPr>
          <w:lang w:val="es-ES_tradnl"/>
        </w:rPr>
        <w:t>de Predicciones a Largo Plaz</w:t>
      </w:r>
      <w:bookmarkStart w:id="1" w:name="_GoBack"/>
      <w:bookmarkEnd w:id="1"/>
      <w:r w:rsidRPr="004430CC">
        <w:rPr>
          <w:lang w:val="es-ES_tradnl"/>
        </w:rPr>
        <w:t xml:space="preserve">o, Centros Mundiales </w:t>
      </w:r>
      <w:r>
        <w:rPr>
          <w:lang w:val="es-ES_tradnl"/>
        </w:rPr>
        <w:br/>
      </w:r>
      <w:r w:rsidRPr="004430CC">
        <w:rPr>
          <w:lang w:val="es-ES_tradnl"/>
        </w:rPr>
        <w:t xml:space="preserve">de Producción de Predicciones Subestacionales </w:t>
      </w:r>
      <w:r>
        <w:rPr>
          <w:lang w:val="es-ES_tradnl"/>
        </w:rPr>
        <w:br/>
      </w:r>
      <w:r w:rsidRPr="004430CC">
        <w:rPr>
          <w:lang w:val="es-ES_tradnl"/>
        </w:rPr>
        <w:t xml:space="preserve">y del Centro Principal para la Coordinación </w:t>
      </w:r>
      <w:r>
        <w:rPr>
          <w:lang w:val="es-ES_tradnl"/>
        </w:rPr>
        <w:br/>
      </w:r>
      <w:r w:rsidRPr="004430CC">
        <w:rPr>
          <w:lang w:val="es-ES_tradnl"/>
        </w:rPr>
        <w:t>de los Conjuntos Multimodelos para las Predicciones Subestacionales</w:t>
      </w:r>
    </w:p>
    <w:tbl>
      <w:tblPr>
        <w:tblStyle w:val="TableGrid"/>
        <w:tblW w:w="9526" w:type="dxa"/>
        <w:jc w:val="center"/>
        <w:tblLook w:val="04A0" w:firstRow="1" w:lastRow="0" w:firstColumn="1" w:lastColumn="0" w:noHBand="0" w:noVBand="1"/>
      </w:tblPr>
      <w:tblGrid>
        <w:gridCol w:w="9526"/>
      </w:tblGrid>
      <w:tr w:rsidR="00EC7CF5" w:rsidRPr="00792E38" w14:paraId="50D76077" w14:textId="77777777" w:rsidTr="00792E38">
        <w:trPr>
          <w:jc w:val="center"/>
        </w:trPr>
        <w:tc>
          <w:tcPr>
            <w:tcW w:w="9526" w:type="dxa"/>
            <w:tcBorders>
              <w:bottom w:val="single" w:sz="4" w:space="0" w:color="auto"/>
            </w:tcBorders>
          </w:tcPr>
          <w:p w14:paraId="3DC31B01" w14:textId="77777777" w:rsidR="00EC7CF5" w:rsidRDefault="00EC7CF5" w:rsidP="003C5AB0">
            <w:pPr>
              <w:pStyle w:val="WMOBodyText"/>
              <w:spacing w:after="240"/>
              <w:jc w:val="center"/>
              <w:rPr>
                <w:b/>
                <w:bCs/>
                <w:sz w:val="22"/>
                <w:szCs w:val="22"/>
              </w:rPr>
            </w:pPr>
            <w:r w:rsidRPr="00633FDB">
              <w:rPr>
                <w:b/>
                <w:bCs/>
                <w:sz w:val="22"/>
                <w:szCs w:val="22"/>
              </w:rPr>
              <w:t>RESUMEN</w:t>
            </w:r>
          </w:p>
          <w:p w14:paraId="00EFBE1F" w14:textId="7F420139" w:rsidR="00581CFE" w:rsidRDefault="00581CFE" w:rsidP="004430CC">
            <w:pPr>
              <w:pStyle w:val="WMOBodyText"/>
              <w:spacing w:before="160"/>
              <w:jc w:val="left"/>
              <w:rPr>
                <w:lang w:val="es-ES"/>
              </w:rPr>
            </w:pPr>
            <w:r>
              <w:rPr>
                <w:b/>
                <w:bCs/>
                <w:lang w:val="es-ES"/>
              </w:rPr>
              <w:t>Documento presentado por:</w:t>
            </w:r>
            <w:r>
              <w:rPr>
                <w:lang w:val="es-ES"/>
              </w:rPr>
              <w:t xml:space="preserve"> </w:t>
            </w:r>
            <w:r w:rsidR="004430CC" w:rsidRPr="004430CC">
              <w:rPr>
                <w:lang w:val="es-ES"/>
              </w:rPr>
              <w:t>el presidente de la Comisión de Observaciones, Infraestructura y Sistemas de Información (INFCOM).</w:t>
            </w:r>
          </w:p>
          <w:p w14:paraId="085D6D0D" w14:textId="173E32FF" w:rsidR="00581CFE" w:rsidRDefault="00581CFE" w:rsidP="004430CC">
            <w:pPr>
              <w:pStyle w:val="WMOBodyText"/>
              <w:spacing w:before="160"/>
              <w:jc w:val="left"/>
              <w:rPr>
                <w:b/>
                <w:bCs/>
                <w:lang w:val="es-ES"/>
              </w:rPr>
            </w:pPr>
            <w:r>
              <w:rPr>
                <w:b/>
                <w:bCs/>
                <w:lang w:val="es-ES"/>
              </w:rPr>
              <w:t xml:space="preserve">Objetivo estratégico para 2020-2023: </w:t>
            </w:r>
            <w:r w:rsidR="004430CC">
              <w:rPr>
                <w:lang w:val="es-ES"/>
              </w:rPr>
              <w:t>2.3.</w:t>
            </w:r>
          </w:p>
          <w:p w14:paraId="032D51A3" w14:textId="479D6E75" w:rsidR="00581CFE" w:rsidRDefault="00581CFE" w:rsidP="004430CC">
            <w:pPr>
              <w:pStyle w:val="WMOBodyText"/>
              <w:spacing w:before="160"/>
              <w:jc w:val="left"/>
              <w:rPr>
                <w:lang w:val="es-ES"/>
              </w:rPr>
            </w:pPr>
            <w:r>
              <w:rPr>
                <w:b/>
                <w:bCs/>
                <w:lang w:val="es-ES"/>
              </w:rPr>
              <w:t>Consecuencias financieras y administrativas:</w:t>
            </w:r>
            <w:r>
              <w:rPr>
                <w:lang w:val="es-ES"/>
              </w:rPr>
              <w:t xml:space="preserve"> </w:t>
            </w:r>
            <w:r w:rsidR="004430CC" w:rsidRPr="004430CC">
              <w:rPr>
                <w:lang w:val="es-ES"/>
              </w:rPr>
              <w:t>dentro de los parámetros del Plan Estratégico y del Plan de Funcionamiento para 2020-2023.</w:t>
            </w:r>
          </w:p>
          <w:p w14:paraId="7CA184E2" w14:textId="2549D219" w:rsidR="00581CFE" w:rsidRDefault="00581CFE" w:rsidP="004430CC">
            <w:pPr>
              <w:pStyle w:val="WMOBodyText"/>
              <w:spacing w:before="160"/>
              <w:jc w:val="left"/>
              <w:rPr>
                <w:lang w:val="es-ES"/>
              </w:rPr>
            </w:pPr>
            <w:r>
              <w:rPr>
                <w:b/>
                <w:bCs/>
                <w:lang w:val="es-ES"/>
              </w:rPr>
              <w:t>Principales encargados de la ejecución:</w:t>
            </w:r>
            <w:r>
              <w:rPr>
                <w:lang w:val="es-ES"/>
              </w:rPr>
              <w:t xml:space="preserve"> </w:t>
            </w:r>
            <w:r w:rsidR="004430CC">
              <w:rPr>
                <w:lang w:val="es-ES"/>
              </w:rPr>
              <w:t>la INFCOM.</w:t>
            </w:r>
          </w:p>
          <w:p w14:paraId="5B73D02B" w14:textId="05E1AAD1" w:rsidR="00581CFE" w:rsidRDefault="00581CFE" w:rsidP="004430CC">
            <w:pPr>
              <w:pStyle w:val="WMOBodyText"/>
              <w:spacing w:before="160"/>
              <w:jc w:val="left"/>
              <w:rPr>
                <w:lang w:val="es-ES"/>
              </w:rPr>
            </w:pPr>
            <w:r>
              <w:rPr>
                <w:b/>
                <w:bCs/>
                <w:lang w:val="es-ES"/>
              </w:rPr>
              <w:t>Cronograma:</w:t>
            </w:r>
            <w:r>
              <w:rPr>
                <w:lang w:val="es-ES"/>
              </w:rPr>
              <w:t xml:space="preserve"> </w:t>
            </w:r>
            <w:r w:rsidR="004430CC">
              <w:rPr>
                <w:lang w:val="es-ES"/>
              </w:rPr>
              <w:t>2023.</w:t>
            </w:r>
          </w:p>
          <w:p w14:paraId="0505F6BD" w14:textId="1824BB8C" w:rsidR="00581CFE" w:rsidRPr="00633FDB" w:rsidRDefault="00581CFE" w:rsidP="00792E38">
            <w:pPr>
              <w:pStyle w:val="WMOBodyText"/>
              <w:spacing w:before="160" w:after="240"/>
              <w:jc w:val="left"/>
              <w:rPr>
                <w:b/>
                <w:bCs/>
                <w:sz w:val="22"/>
                <w:szCs w:val="22"/>
              </w:rPr>
            </w:pPr>
            <w:r>
              <w:rPr>
                <w:b/>
                <w:bCs/>
                <w:lang w:val="es-ES"/>
              </w:rPr>
              <w:t>Medida prevista:</w:t>
            </w:r>
            <w:r>
              <w:rPr>
                <w:lang w:val="es-ES"/>
              </w:rPr>
              <w:t xml:space="preserve"> </w:t>
            </w:r>
            <w:r w:rsidR="004430CC" w:rsidRPr="004430CC">
              <w:rPr>
                <w:lang w:val="es-ES"/>
              </w:rPr>
              <w:t>examinar el proyecto de resolución propuesto.</w:t>
            </w:r>
          </w:p>
        </w:tc>
      </w:tr>
    </w:tbl>
    <w:p w14:paraId="3BDB2E59" w14:textId="77777777" w:rsidR="00B01B02" w:rsidRPr="00792E38" w:rsidRDefault="00B01B02" w:rsidP="00EC7CF5">
      <w:pPr>
        <w:pStyle w:val="WMOBodyText"/>
        <w:spacing w:before="0"/>
        <w:rPr>
          <w:lang w:val="es-ES"/>
        </w:rPr>
      </w:pPr>
    </w:p>
    <w:p w14:paraId="628DEB31"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79848EFD" w14:textId="543BB769" w:rsidR="00581CFE" w:rsidRPr="00633FDB" w:rsidRDefault="00581CFE" w:rsidP="00581CFE">
      <w:pPr>
        <w:pStyle w:val="Heading1"/>
        <w:rPr>
          <w:lang w:val="es-ES_tradnl"/>
        </w:rPr>
      </w:pPr>
      <w:r w:rsidRPr="00633FDB">
        <w:rPr>
          <w:lang w:val="es-ES_tradnl"/>
        </w:rPr>
        <w:lastRenderedPageBreak/>
        <w:t>PROYECTO DE RESOLUCIÓN</w:t>
      </w:r>
    </w:p>
    <w:p w14:paraId="6D6E7818" w14:textId="0E2A8E67" w:rsidR="00581CFE" w:rsidRPr="00633FDB" w:rsidRDefault="00581CFE" w:rsidP="00581CFE">
      <w:pPr>
        <w:pStyle w:val="Heading2"/>
      </w:pPr>
      <w:r w:rsidRPr="00633FDB">
        <w:t xml:space="preserve">Proyecto de Resolución </w:t>
      </w:r>
      <w:r w:rsidR="004430CC">
        <w:t>3.2(</w:t>
      </w:r>
      <w:proofErr w:type="gramStart"/>
      <w:r w:rsidR="004430CC">
        <w:t>9)</w:t>
      </w:r>
      <w:r w:rsidRPr="00633FDB">
        <w:t>/</w:t>
      </w:r>
      <w:proofErr w:type="gramEnd"/>
      <w:r w:rsidRPr="00633FDB">
        <w:t>1 (EC-7</w:t>
      </w:r>
      <w:r w:rsidR="0050607D">
        <w:t>6</w:t>
      </w:r>
      <w:r w:rsidRPr="00633FDB">
        <w:t>)</w:t>
      </w:r>
    </w:p>
    <w:p w14:paraId="4202180C" w14:textId="064B8CEB" w:rsidR="00581CFE" w:rsidRPr="00633FDB" w:rsidRDefault="004430CC" w:rsidP="00581CFE">
      <w:pPr>
        <w:pStyle w:val="Heading2"/>
      </w:pPr>
      <w:r w:rsidRPr="004430CC">
        <w:t xml:space="preserve">Designación de Centros Mundiales de Producción de Predicciones a Largo Plazo, Centros Mundiales de Producción de Predicciones </w:t>
      </w:r>
      <w:proofErr w:type="spellStart"/>
      <w:r w:rsidRPr="004430CC">
        <w:t>Subestacionales</w:t>
      </w:r>
      <w:proofErr w:type="spellEnd"/>
      <w:r w:rsidRPr="004430CC">
        <w:t xml:space="preserve"> y</w:t>
      </w:r>
      <w:r w:rsidR="00207130">
        <w:t> </w:t>
      </w:r>
      <w:r w:rsidRPr="004430CC">
        <w:t xml:space="preserve">del Centro Principal para la Coordinación de los Conjuntos </w:t>
      </w:r>
      <w:r w:rsidR="00207130">
        <w:br/>
      </w:r>
      <w:r w:rsidRPr="004430CC">
        <w:t xml:space="preserve">Multimodelos para las Predicciones </w:t>
      </w:r>
      <w:proofErr w:type="spellStart"/>
      <w:r w:rsidRPr="004430CC">
        <w:t>Subestacionales</w:t>
      </w:r>
      <w:proofErr w:type="spellEnd"/>
    </w:p>
    <w:p w14:paraId="65614A6A" w14:textId="77777777" w:rsidR="00581CFE" w:rsidRPr="00633FDB" w:rsidRDefault="00581CFE" w:rsidP="00581CFE">
      <w:pPr>
        <w:pStyle w:val="WMOBodyText"/>
      </w:pPr>
      <w:r w:rsidRPr="00633FDB">
        <w:t>EL CONSEJO EJECUTIVO,</w:t>
      </w:r>
    </w:p>
    <w:p w14:paraId="457317D6" w14:textId="27343E11" w:rsidR="004430CC" w:rsidRDefault="004430CC" w:rsidP="004430CC">
      <w:pPr>
        <w:pStyle w:val="WMOBodyText"/>
      </w:pPr>
      <w:r>
        <w:rPr>
          <w:b/>
          <w:bCs/>
          <w:lang w:val="es-ES"/>
        </w:rPr>
        <w:t xml:space="preserve">Recordando </w:t>
      </w:r>
      <w:r>
        <w:rPr>
          <w:lang w:val="es-ES"/>
        </w:rPr>
        <w:t xml:space="preserve">la </w:t>
      </w:r>
      <w:hyperlink r:id="rId12" w:anchor="page=407" w:history="1">
        <w:r w:rsidRPr="0098371E">
          <w:rPr>
            <w:rStyle w:val="Hyperlink"/>
            <w:lang w:val="es-ES"/>
          </w:rPr>
          <w:t>Resolu</w:t>
        </w:r>
        <w:r w:rsidRPr="0098371E">
          <w:rPr>
            <w:rStyle w:val="Hyperlink"/>
            <w:lang w:val="es-ES"/>
          </w:rPr>
          <w:t>c</w:t>
        </w:r>
        <w:r w:rsidRPr="0098371E">
          <w:rPr>
            <w:rStyle w:val="Hyperlink"/>
            <w:lang w:val="es-ES"/>
          </w:rPr>
          <w:t>ión 23 (EC-73)</w:t>
        </w:r>
      </w:hyperlink>
      <w:r>
        <w:rPr>
          <w:lang w:val="es-ES"/>
        </w:rPr>
        <w:t xml:space="preserve"> — Enmiendas al </w:t>
      </w:r>
      <w:r>
        <w:rPr>
          <w:i/>
          <w:iCs/>
          <w:lang w:val="es-ES"/>
        </w:rPr>
        <w:t xml:space="preserve">Manual del Sistema Mundial de Proceso de Datos y de Predicción </w:t>
      </w:r>
      <w:r>
        <w:rPr>
          <w:lang w:val="es-ES"/>
        </w:rPr>
        <w:t>(OMM-Nº 485) y designación de nuevos centros del Sistema Mundial de Proceso de Datos y de Predicción,</w:t>
      </w:r>
    </w:p>
    <w:p w14:paraId="6B66368B" w14:textId="4FD1E396" w:rsidR="004430CC" w:rsidRDefault="004430CC" w:rsidP="004430CC">
      <w:pPr>
        <w:pStyle w:val="WMOBodyText"/>
      </w:pPr>
      <w:r>
        <w:rPr>
          <w:b/>
          <w:bCs/>
          <w:lang w:val="es-ES"/>
        </w:rPr>
        <w:t xml:space="preserve">Habiendo examinado </w:t>
      </w:r>
      <w:r>
        <w:rPr>
          <w:lang w:val="es-ES"/>
        </w:rPr>
        <w:t xml:space="preserve">la </w:t>
      </w:r>
      <w:hyperlink r:id="rId13" w:history="1">
        <w:r w:rsidRPr="007F7226">
          <w:rPr>
            <w:rStyle w:val="Hyperlink"/>
            <w:lang w:val="es-ES"/>
          </w:rPr>
          <w:t>Recomendac</w:t>
        </w:r>
        <w:r w:rsidRPr="007F7226">
          <w:rPr>
            <w:rStyle w:val="Hyperlink"/>
            <w:lang w:val="es-ES"/>
          </w:rPr>
          <w:t>i</w:t>
        </w:r>
        <w:r w:rsidRPr="007F7226">
          <w:rPr>
            <w:rStyle w:val="Hyperlink"/>
            <w:lang w:val="es-ES"/>
          </w:rPr>
          <w:t>ón 6.4(2)/3 (INFCOM-2)</w:t>
        </w:r>
      </w:hyperlink>
      <w:r>
        <w:rPr>
          <w:lang w:val="es-ES"/>
        </w:rPr>
        <w:t xml:space="preserve"> — Designación de los Centros Mundiales de Producción de Predicciones a Largo Plazo y de Predicciones </w:t>
      </w:r>
      <w:proofErr w:type="spellStart"/>
      <w:r>
        <w:rPr>
          <w:lang w:val="es-ES"/>
        </w:rPr>
        <w:t>Subestacionales</w:t>
      </w:r>
      <w:proofErr w:type="spellEnd"/>
      <w:r>
        <w:rPr>
          <w:lang w:val="es-ES"/>
        </w:rPr>
        <w:t xml:space="preserve"> y del Centro Principal para la coordinación de las predicciones </w:t>
      </w:r>
      <w:proofErr w:type="spellStart"/>
      <w:r>
        <w:rPr>
          <w:lang w:val="es-ES"/>
        </w:rPr>
        <w:t>subestacionales</w:t>
      </w:r>
      <w:proofErr w:type="spellEnd"/>
      <w:r w:rsidR="00330F43">
        <w:rPr>
          <w:lang w:val="es-ES"/>
        </w:rPr>
        <w:t xml:space="preserve"> mediante conjuntos </w:t>
      </w:r>
      <w:proofErr w:type="spellStart"/>
      <w:r w:rsidR="00330F43">
        <w:rPr>
          <w:lang w:val="es-ES"/>
        </w:rPr>
        <w:t>multimodelos</w:t>
      </w:r>
      <w:proofErr w:type="spellEnd"/>
      <w:r w:rsidR="007F7226">
        <w:rPr>
          <w:lang w:val="es-ES"/>
        </w:rPr>
        <w:t>,</w:t>
      </w:r>
    </w:p>
    <w:p w14:paraId="4B476F7A" w14:textId="679390FB" w:rsidR="004430CC" w:rsidRDefault="004430CC" w:rsidP="004430CC">
      <w:pPr>
        <w:pStyle w:val="WMOBodyText"/>
      </w:pPr>
      <w:r>
        <w:rPr>
          <w:b/>
          <w:bCs/>
          <w:lang w:val="es-ES"/>
        </w:rPr>
        <w:t xml:space="preserve">Estando conforme </w:t>
      </w:r>
      <w:r>
        <w:rPr>
          <w:lang w:val="es-ES"/>
        </w:rPr>
        <w:t>con la</w:t>
      </w:r>
      <w:r w:rsidR="00C375B6">
        <w:rPr>
          <w:lang w:val="es-ES"/>
        </w:rPr>
        <w:t>s</w:t>
      </w:r>
      <w:r>
        <w:rPr>
          <w:lang w:val="es-ES"/>
        </w:rPr>
        <w:t xml:space="preserve"> enmienda</w:t>
      </w:r>
      <w:r w:rsidR="00C375B6">
        <w:rPr>
          <w:lang w:val="es-ES"/>
        </w:rPr>
        <w:t>s</w:t>
      </w:r>
      <w:r>
        <w:rPr>
          <w:lang w:val="es-ES"/>
        </w:rPr>
        <w:t xml:space="preserve"> al </w:t>
      </w:r>
      <w:hyperlink r:id="rId14" w:anchor=".Y9N3_nbMKUk" w:history="1">
        <w:r w:rsidRPr="00C375B6">
          <w:rPr>
            <w:rStyle w:val="Hyperlink"/>
            <w:i/>
            <w:iCs/>
            <w:lang w:val="es-ES"/>
          </w:rPr>
          <w:t>Manual del S</w:t>
        </w:r>
        <w:r w:rsidRPr="00C375B6">
          <w:rPr>
            <w:rStyle w:val="Hyperlink"/>
            <w:i/>
            <w:iCs/>
            <w:lang w:val="es-ES"/>
          </w:rPr>
          <w:t>i</w:t>
        </w:r>
        <w:r w:rsidRPr="00C375B6">
          <w:rPr>
            <w:rStyle w:val="Hyperlink"/>
            <w:i/>
            <w:iCs/>
            <w:lang w:val="es-ES"/>
          </w:rPr>
          <w:t>stema Mundial de Proceso de Datos y de Predicción</w:t>
        </w:r>
      </w:hyperlink>
      <w:r>
        <w:rPr>
          <w:i/>
          <w:iCs/>
          <w:lang w:val="es-ES"/>
        </w:rPr>
        <w:t xml:space="preserve"> </w:t>
      </w:r>
      <w:r>
        <w:rPr>
          <w:lang w:val="es-ES"/>
        </w:rPr>
        <w:t>(OMM-Nº 485), que figura</w:t>
      </w:r>
      <w:r w:rsidR="00C375B6">
        <w:rPr>
          <w:lang w:val="es-ES"/>
        </w:rPr>
        <w:t>n</w:t>
      </w:r>
      <w:r>
        <w:rPr>
          <w:lang w:val="es-ES"/>
        </w:rPr>
        <w:t xml:space="preserve"> en el </w:t>
      </w:r>
      <w:hyperlink w:anchor="AnexoResolución" w:history="1">
        <w:r w:rsidRPr="00D47603">
          <w:rPr>
            <w:rStyle w:val="Hyperlink"/>
            <w:lang w:val="es-ES"/>
          </w:rPr>
          <w:t>anexo</w:t>
        </w:r>
      </w:hyperlink>
      <w:r>
        <w:rPr>
          <w:lang w:val="es-ES"/>
        </w:rPr>
        <w:t xml:space="preserve"> a la presente resolución,</w:t>
      </w:r>
    </w:p>
    <w:p w14:paraId="0E8C7443" w14:textId="6BA0A715" w:rsidR="004430CC" w:rsidRDefault="004430CC" w:rsidP="004430CC">
      <w:pPr>
        <w:pStyle w:val="WMOBodyText"/>
      </w:pPr>
      <w:r>
        <w:rPr>
          <w:b/>
          <w:bCs/>
          <w:lang w:val="es-ES"/>
        </w:rPr>
        <w:t xml:space="preserve">Autoriza </w:t>
      </w:r>
      <w:r>
        <w:rPr>
          <w:lang w:val="es-ES"/>
        </w:rPr>
        <w:t xml:space="preserve">al Secretario General a que, en consulta con el presidente de la Comisión de Observaciones, Infraestructura y Sistemas de Información (INFCOM), realice enmiendas de carácter editorial </w:t>
      </w:r>
      <w:r w:rsidR="00D47603">
        <w:rPr>
          <w:lang w:val="es-ES"/>
        </w:rPr>
        <w:t>a</w:t>
      </w:r>
      <w:r>
        <w:rPr>
          <w:lang w:val="es-ES"/>
        </w:rPr>
        <w:t xml:space="preserve">l </w:t>
      </w:r>
      <w:hyperlink r:id="rId15" w:anchor=".Y9N3_nbMKUk" w:history="1">
        <w:r w:rsidR="00D47603" w:rsidRPr="00C375B6">
          <w:rPr>
            <w:rStyle w:val="Hyperlink"/>
            <w:i/>
            <w:iCs/>
            <w:lang w:val="es-ES"/>
          </w:rPr>
          <w:t>Manual del Sistema Mundial de Proceso de Datos y de Predicción</w:t>
        </w:r>
      </w:hyperlink>
      <w:r>
        <w:rPr>
          <w:i/>
          <w:iCs/>
          <w:lang w:val="es-ES"/>
        </w:rPr>
        <w:t xml:space="preserve"> </w:t>
      </w:r>
      <w:r>
        <w:rPr>
          <w:lang w:val="es-ES"/>
        </w:rPr>
        <w:t>(OMM</w:t>
      </w:r>
      <w:r w:rsidR="00207130">
        <w:rPr>
          <w:lang w:val="es-ES"/>
        </w:rPr>
        <w:noBreakHyphen/>
      </w:r>
      <w:r>
        <w:rPr>
          <w:lang w:val="es-ES"/>
        </w:rPr>
        <w:t>Nº</w:t>
      </w:r>
      <w:r w:rsidR="00207130">
        <w:rPr>
          <w:lang w:val="es-ES"/>
        </w:rPr>
        <w:t> </w:t>
      </w:r>
      <w:r>
        <w:rPr>
          <w:lang w:val="es-ES"/>
        </w:rPr>
        <w:t>485).</w:t>
      </w:r>
    </w:p>
    <w:p w14:paraId="54518D22" w14:textId="77777777" w:rsidR="00581CFE" w:rsidRPr="00633FDB" w:rsidRDefault="00581CFE" w:rsidP="00581CFE">
      <w:pPr>
        <w:spacing w:before="480"/>
        <w:jc w:val="center"/>
        <w:rPr>
          <w:lang w:val="es-ES_tradnl"/>
        </w:rPr>
      </w:pPr>
      <w:r w:rsidRPr="00633FDB">
        <w:rPr>
          <w:lang w:val="es-ES_tradnl"/>
        </w:rPr>
        <w:t>___________</w:t>
      </w:r>
    </w:p>
    <w:p w14:paraId="57A02DF6" w14:textId="77777777" w:rsidR="00581CFE" w:rsidRPr="00633FDB" w:rsidRDefault="00CC1A11" w:rsidP="00581CFE">
      <w:pPr>
        <w:pStyle w:val="WMOBodyText"/>
        <w:spacing w:before="480"/>
      </w:pPr>
      <w:hyperlink w:anchor="AnexoResolución" w:history="1">
        <w:r w:rsidR="00581CFE" w:rsidRPr="00633FDB">
          <w:rPr>
            <w:rStyle w:val="Hyperlink"/>
          </w:rPr>
          <w:t>Anexo: 1</w:t>
        </w:r>
      </w:hyperlink>
    </w:p>
    <w:p w14:paraId="0D76F310"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2757695C" w14:textId="0199D39B" w:rsidR="00581CFE" w:rsidRPr="00633FDB" w:rsidRDefault="00581CFE" w:rsidP="00581CFE">
      <w:pPr>
        <w:jc w:val="center"/>
        <w:rPr>
          <w:b/>
          <w:bCs/>
          <w:sz w:val="22"/>
          <w:szCs w:val="22"/>
          <w:lang w:val="es-ES_tradnl"/>
        </w:rPr>
      </w:pPr>
      <w:bookmarkStart w:id="2" w:name="_Annex_to_draft_3"/>
      <w:bookmarkStart w:id="3" w:name="AnexoResolución"/>
      <w:bookmarkEnd w:id="2"/>
      <w:bookmarkEnd w:id="3"/>
      <w:r w:rsidRPr="00633FDB">
        <w:rPr>
          <w:b/>
          <w:bCs/>
          <w:sz w:val="22"/>
          <w:szCs w:val="22"/>
          <w:lang w:val="es-ES_tradnl"/>
        </w:rPr>
        <w:lastRenderedPageBreak/>
        <w:t xml:space="preserve">Anexo al proyecto de Resolución </w:t>
      </w:r>
      <w:r w:rsidR="004430CC">
        <w:rPr>
          <w:b/>
          <w:bCs/>
          <w:sz w:val="22"/>
          <w:szCs w:val="22"/>
          <w:lang w:val="es-ES_tradnl"/>
        </w:rPr>
        <w:t>3.2(</w:t>
      </w:r>
      <w:proofErr w:type="gramStart"/>
      <w:r w:rsidR="004430CC">
        <w:rPr>
          <w:b/>
          <w:bCs/>
          <w:sz w:val="22"/>
          <w:szCs w:val="22"/>
          <w:lang w:val="es-ES_tradnl"/>
        </w:rPr>
        <w:t>9)</w:t>
      </w:r>
      <w:r w:rsidRPr="00633FDB">
        <w:rPr>
          <w:b/>
          <w:bCs/>
          <w:sz w:val="22"/>
          <w:szCs w:val="22"/>
          <w:lang w:val="es-ES_tradnl"/>
        </w:rPr>
        <w:t>/</w:t>
      </w:r>
      <w:proofErr w:type="gramEnd"/>
      <w:r w:rsidRPr="00633FDB">
        <w:rPr>
          <w:b/>
          <w:bCs/>
          <w:sz w:val="22"/>
          <w:szCs w:val="22"/>
          <w:lang w:val="es-ES_tradnl"/>
        </w:rPr>
        <w:t>1 (EC-7</w:t>
      </w:r>
      <w:r w:rsidR="0050607D">
        <w:rPr>
          <w:b/>
          <w:bCs/>
          <w:sz w:val="22"/>
          <w:szCs w:val="22"/>
          <w:lang w:val="es-ES_tradnl"/>
        </w:rPr>
        <w:t>6</w:t>
      </w:r>
      <w:r w:rsidRPr="00633FDB">
        <w:rPr>
          <w:b/>
          <w:bCs/>
          <w:sz w:val="22"/>
          <w:szCs w:val="22"/>
          <w:lang w:val="es-ES_tradnl"/>
        </w:rPr>
        <w:t>)</w:t>
      </w:r>
    </w:p>
    <w:p w14:paraId="5F71A468" w14:textId="2F6749B0" w:rsidR="00581CFE" w:rsidRPr="00633FDB" w:rsidRDefault="004430CC" w:rsidP="00581CFE">
      <w:pPr>
        <w:spacing w:before="240" w:after="360"/>
        <w:jc w:val="center"/>
        <w:rPr>
          <w:b/>
          <w:bCs/>
          <w:sz w:val="22"/>
          <w:szCs w:val="22"/>
          <w:lang w:val="es-ES_tradnl"/>
        </w:rPr>
      </w:pPr>
      <w:r w:rsidRPr="004430CC">
        <w:rPr>
          <w:b/>
          <w:bCs/>
          <w:sz w:val="22"/>
          <w:szCs w:val="22"/>
          <w:lang w:val="es-ES_tradnl"/>
        </w:rPr>
        <w:t xml:space="preserve">Designación de Centros Mundiales de Producción de Predicciones a Largo Plazo, Centros Mundiales de Producción de Predicciones </w:t>
      </w:r>
      <w:proofErr w:type="spellStart"/>
      <w:r w:rsidRPr="004430CC">
        <w:rPr>
          <w:b/>
          <w:bCs/>
          <w:sz w:val="22"/>
          <w:szCs w:val="22"/>
          <w:lang w:val="es-ES_tradnl"/>
        </w:rPr>
        <w:t>Subestacionales</w:t>
      </w:r>
      <w:proofErr w:type="spellEnd"/>
      <w:r w:rsidRPr="004430CC">
        <w:rPr>
          <w:b/>
          <w:bCs/>
          <w:sz w:val="22"/>
          <w:szCs w:val="22"/>
          <w:lang w:val="es-ES_tradnl"/>
        </w:rPr>
        <w:t xml:space="preserve"> y</w:t>
      </w:r>
      <w:r w:rsidR="009023C3">
        <w:rPr>
          <w:b/>
          <w:bCs/>
          <w:sz w:val="22"/>
          <w:szCs w:val="22"/>
          <w:lang w:val="es-ES_tradnl"/>
        </w:rPr>
        <w:t> </w:t>
      </w:r>
      <w:r w:rsidRPr="004430CC">
        <w:rPr>
          <w:b/>
          <w:bCs/>
          <w:sz w:val="22"/>
          <w:szCs w:val="22"/>
          <w:lang w:val="es-ES_tradnl"/>
        </w:rPr>
        <w:t xml:space="preserve">del Centro Principal para la Coordinación de los Conjuntos </w:t>
      </w:r>
      <w:r w:rsidR="009023C3">
        <w:rPr>
          <w:b/>
          <w:bCs/>
          <w:sz w:val="22"/>
          <w:szCs w:val="22"/>
          <w:lang w:val="es-ES_tradnl"/>
        </w:rPr>
        <w:br/>
      </w:r>
      <w:r w:rsidRPr="004430CC">
        <w:rPr>
          <w:b/>
          <w:bCs/>
          <w:sz w:val="22"/>
          <w:szCs w:val="22"/>
          <w:lang w:val="es-ES_tradnl"/>
        </w:rPr>
        <w:t xml:space="preserve">Multimodelos para las Predicciones </w:t>
      </w:r>
      <w:proofErr w:type="spellStart"/>
      <w:r w:rsidRPr="004430CC">
        <w:rPr>
          <w:b/>
          <w:bCs/>
          <w:sz w:val="22"/>
          <w:szCs w:val="22"/>
          <w:lang w:val="es-ES_tradnl"/>
        </w:rPr>
        <w:t>Subestacionales</w:t>
      </w:r>
      <w:proofErr w:type="spellEnd"/>
    </w:p>
    <w:p w14:paraId="4D2DDF59" w14:textId="56432D08" w:rsidR="004430CC" w:rsidRDefault="004430CC" w:rsidP="004430CC">
      <w:pPr>
        <w:tabs>
          <w:tab w:val="left" w:pos="720"/>
        </w:tabs>
        <w:spacing w:before="240"/>
        <w:textAlignment w:val="baseline"/>
        <w:rPr>
          <w:i/>
          <w:iCs/>
          <w:lang w:val="es-ES"/>
        </w:rPr>
      </w:pPr>
      <w:r>
        <w:rPr>
          <w:i/>
          <w:iCs/>
          <w:lang w:val="es-ES"/>
        </w:rPr>
        <w:t>[</w:t>
      </w:r>
      <w:r w:rsidR="00455EB0" w:rsidRPr="00CE70EE">
        <w:rPr>
          <w:i/>
          <w:iCs/>
          <w:lang w:val="es-ES"/>
        </w:rPr>
        <w:t xml:space="preserve">Las enmiendas propuestas se presentan en forma de </w:t>
      </w:r>
      <w:r w:rsidR="00455EB0" w:rsidRPr="00CE70EE">
        <w:rPr>
          <w:i/>
          <w:iCs/>
          <w:color w:val="008000"/>
          <w:u w:val="dash"/>
          <w:lang w:val="es-ES"/>
        </w:rPr>
        <w:t>adiciones</w:t>
      </w:r>
      <w:r w:rsidR="00455EB0" w:rsidRPr="00CE70EE">
        <w:rPr>
          <w:i/>
          <w:iCs/>
          <w:lang w:val="es-ES"/>
        </w:rPr>
        <w:t xml:space="preserve"> al </w:t>
      </w:r>
      <w:r w:rsidR="00455EB0" w:rsidRPr="00CE70EE">
        <w:rPr>
          <w:lang w:val="es-ES"/>
        </w:rPr>
        <w:t xml:space="preserve">Manual del Sistema Mundial de Proceso de Datos y Predicción </w:t>
      </w:r>
      <w:r w:rsidR="00455EB0" w:rsidRPr="00CE70EE">
        <w:rPr>
          <w:i/>
          <w:iCs/>
          <w:lang w:val="es-ES"/>
        </w:rPr>
        <w:t xml:space="preserve">(OMM-Nº 485) o de </w:t>
      </w:r>
      <w:r w:rsidR="00455EB0" w:rsidRPr="00CE70EE">
        <w:rPr>
          <w:i/>
          <w:iCs/>
          <w:strike/>
          <w:color w:val="FF0000"/>
          <w:u w:val="dash"/>
          <w:lang w:val="es-ES"/>
        </w:rPr>
        <w:t>supresión</w:t>
      </w:r>
      <w:r w:rsidR="00455EB0" w:rsidRPr="00CE70EE">
        <w:rPr>
          <w:i/>
          <w:iCs/>
          <w:lang w:val="es-ES"/>
        </w:rPr>
        <w:t xml:space="preserve"> de su texto, y la numeración que figura en el presente anexo corresponde a la numeración de la publicación</w:t>
      </w:r>
      <w:r>
        <w:rPr>
          <w:i/>
          <w:iCs/>
          <w:lang w:val="es-ES"/>
        </w:rPr>
        <w:t>].</w:t>
      </w:r>
    </w:p>
    <w:p w14:paraId="24DC4CE5" w14:textId="77777777" w:rsidR="00961F69" w:rsidRPr="004430CC" w:rsidRDefault="00961F69" w:rsidP="004430CC">
      <w:pPr>
        <w:tabs>
          <w:tab w:val="left" w:pos="720"/>
        </w:tabs>
        <w:spacing w:before="240"/>
        <w:textAlignment w:val="baseline"/>
        <w:rPr>
          <w:rFonts w:eastAsia="Times New Roman" w:cs="Segoe UI"/>
          <w:i/>
          <w:iCs/>
          <w:lang w:val="es-ES"/>
        </w:rPr>
      </w:pPr>
    </w:p>
    <w:p w14:paraId="21E49FC6" w14:textId="77777777" w:rsidR="00425727" w:rsidRDefault="00425727" w:rsidP="00425727">
      <w:pPr>
        <w:pStyle w:val="TPSSection"/>
      </w:pPr>
      <w:r>
        <w:fldChar w:fldCharType="begin"/>
      </w:r>
      <w:r>
        <w:instrText xml:space="preserve"> MACROBUTTON TPS_Section SECTION: Chapter</w:instrText>
      </w:r>
      <w:r>
        <w:rPr>
          <w:vanish/>
        </w:rPr>
        <w:fldChar w:fldCharType="begin"/>
      </w:r>
      <w:r>
        <w:rPr>
          <w:vanish/>
        </w:rPr>
        <w:instrText xml:space="preserve"> Name="Chapter" ID="aa0d883c-1730-4056-b95e-1453885fd7ad" </w:instrText>
      </w:r>
      <w:r>
        <w:fldChar w:fldCharType="end"/>
      </w:r>
      <w:r>
        <w:fldChar w:fldCharType="end"/>
      </w:r>
    </w:p>
    <w:p w14:paraId="5AD2294C" w14:textId="77777777" w:rsidR="00425727" w:rsidRDefault="00425727" w:rsidP="00425727">
      <w:pPr>
        <w:pStyle w:val="TPSSectionData"/>
      </w:pPr>
      <w:r>
        <w:fldChar w:fldCharType="begin"/>
      </w:r>
      <w:r>
        <w:instrText xml:space="preserve"> MACROBUTTON TPS_SectionField Chapter title in running head: Parte II. Especificaciones de las activ…</w:instrText>
      </w:r>
      <w:r>
        <w:rPr>
          <w:vanish/>
        </w:rPr>
        <w:fldChar w:fldCharType="begin"/>
      </w:r>
      <w:r>
        <w:rPr>
          <w:vanish/>
        </w:rPr>
        <w:instrText xml:space="preserve"> Name="Chapter title in running head" Value="Parte II. Especificaciones de las actividades del sistema mundial de proceso de datos y de predicción" </w:instrText>
      </w:r>
      <w:r>
        <w:fldChar w:fldCharType="end"/>
      </w:r>
      <w:r>
        <w:fldChar w:fldCharType="end"/>
      </w:r>
    </w:p>
    <w:p w14:paraId="4B87358E" w14:textId="77777777" w:rsidR="00425727" w:rsidRDefault="00425727" w:rsidP="00425727">
      <w:pPr>
        <w:pStyle w:val="Chapterhead"/>
        <w:rPr>
          <w:lang w:val="es-ES"/>
        </w:rPr>
      </w:pPr>
      <w:r>
        <w:rPr>
          <w:caps w:val="0"/>
          <w:lang w:val="es-ES"/>
        </w:rPr>
        <w:t>APÉNDICE 2.2.43</w:t>
      </w:r>
      <w:r>
        <w:rPr>
          <w:lang w:val="es-ES"/>
        </w:rPr>
        <w:t>. INFORMACIÓN MÍNIMA QUE DEBERÁN OFRECER LOS</w:t>
      </w:r>
      <w:r>
        <w:rPr>
          <w:rStyle w:val="Spacenon-breaking"/>
          <w:lang w:val="es-ES"/>
        </w:rPr>
        <w:t xml:space="preserve"> </w:t>
      </w:r>
      <w:r>
        <w:rPr>
          <w:lang w:val="es-ES"/>
        </w:rPr>
        <w:t>CENTROS PRINCIPALES DE PREDICCIÓN SUBESTACIONAL MEDIANTE CONJUNTOS MULTIMODELOS</w:t>
      </w:r>
      <w:bookmarkStart w:id="4" w:name="_p_ee931d888418446ca7e6f9ba4e2eddad"/>
      <w:bookmarkEnd w:id="4"/>
    </w:p>
    <w:p w14:paraId="1D1E6679" w14:textId="77777777" w:rsidR="00425727" w:rsidRDefault="00425727" w:rsidP="00425727">
      <w:pPr>
        <w:pStyle w:val="Heading2NOToC"/>
        <w:rPr>
          <w:rFonts w:ascii="Verdana" w:hAnsi="Verdana" w:cstheme="majorBidi"/>
          <w:color w:val="000000" w:themeColor="text1"/>
          <w:sz w:val="20"/>
          <w:szCs w:val="20"/>
          <w:lang w:val="es-ES" w:eastAsia="zh-TW"/>
        </w:rPr>
      </w:pPr>
      <w:r>
        <w:rPr>
          <w:rFonts w:ascii="Verdana" w:hAnsi="Verdana" w:cstheme="majorBidi"/>
          <w:color w:val="000000" w:themeColor="text1"/>
          <w:sz w:val="20"/>
          <w:szCs w:val="20"/>
          <w:lang w:val="es-ES" w:eastAsia="zh-TW"/>
        </w:rPr>
        <w:t>1.</w:t>
      </w:r>
      <w:r>
        <w:rPr>
          <w:rFonts w:ascii="Verdana" w:hAnsi="Verdana" w:cstheme="majorBidi"/>
          <w:color w:val="000000" w:themeColor="text1"/>
          <w:sz w:val="20"/>
          <w:szCs w:val="20"/>
          <w:lang w:val="es-ES" w:eastAsia="zh-TW"/>
        </w:rPr>
        <w:tab/>
      </w:r>
      <w:bookmarkStart w:id="5" w:name="_p_0f7a7e09a1bd44e19bb3bda1e4d849c8"/>
      <w:bookmarkEnd w:id="5"/>
      <w:r>
        <w:rPr>
          <w:rFonts w:ascii="Verdana" w:hAnsi="Verdana" w:cstheme="majorBidi"/>
          <w:color w:val="000000" w:themeColor="text1"/>
          <w:sz w:val="20"/>
          <w:szCs w:val="20"/>
          <w:lang w:val="es-ES" w:eastAsia="zh-TW"/>
        </w:rPr>
        <w:t>Productos digitales de los Centros Mundiales de Producción</w:t>
      </w:r>
    </w:p>
    <w:p w14:paraId="324DFA49" w14:textId="22CD36BF" w:rsidR="00425727" w:rsidRDefault="00425727" w:rsidP="00425727">
      <w:pPr>
        <w:pStyle w:val="Bodytext1"/>
        <w:rPr>
          <w:rFonts w:ascii="Verdana" w:hAnsi="Verdana" w:cstheme="majorBidi"/>
          <w:color w:val="000000" w:themeColor="text1"/>
          <w:szCs w:val="22"/>
          <w:lang w:val="es-ES"/>
        </w:rPr>
      </w:pPr>
      <w:r>
        <w:rPr>
          <w:rFonts w:ascii="Verdana" w:hAnsi="Verdana" w:cstheme="majorBidi"/>
          <w:color w:val="000000" w:themeColor="text1"/>
          <w:lang w:val="es-ES"/>
        </w:rPr>
        <w:t xml:space="preserve">Campos </w:t>
      </w:r>
      <w:r w:rsidRPr="00973ED2">
        <w:rPr>
          <w:rFonts w:ascii="Verdana" w:hAnsi="Verdana" w:cstheme="majorBidi"/>
          <w:color w:val="000000" w:themeColor="text1"/>
          <w:lang w:val="es-ES"/>
        </w:rPr>
        <w:t xml:space="preserve">mundiales </w:t>
      </w:r>
      <w:r w:rsidRPr="00973ED2">
        <w:rPr>
          <w:rFonts w:ascii="Verdana" w:hAnsi="Verdana" w:cstheme="majorBidi"/>
          <w:strike/>
          <w:color w:val="FF0000"/>
          <w:u w:val="dash"/>
          <w:lang w:val="es-ES"/>
        </w:rPr>
        <w:t>de anomalías pronosticadas</w:t>
      </w:r>
      <w:r w:rsidRPr="00973ED2">
        <w:rPr>
          <w:rFonts w:ascii="Verdana" w:hAnsi="Verdana" w:cstheme="majorBidi"/>
          <w:color w:val="FF0000"/>
          <w:u w:val="dash"/>
          <w:lang w:val="es-ES"/>
        </w:rPr>
        <w:t xml:space="preserve"> </w:t>
      </w:r>
      <w:r w:rsidR="00424711" w:rsidRPr="00973ED2">
        <w:rPr>
          <w:rFonts w:ascii="Verdana" w:hAnsi="Verdana" w:cstheme="majorBidi"/>
          <w:color w:val="008000"/>
          <w:u w:val="dash"/>
          <w:lang w:val="es-ES"/>
        </w:rPr>
        <w:t>de pronóstico</w:t>
      </w:r>
      <w:r w:rsidR="005F24D7" w:rsidRPr="00973ED2">
        <w:rPr>
          <w:rFonts w:ascii="Verdana" w:hAnsi="Verdana" w:cstheme="majorBidi"/>
          <w:color w:val="008000"/>
          <w:u w:val="dash"/>
          <w:lang w:val="es-ES"/>
        </w:rPr>
        <w:t xml:space="preserve"> y </w:t>
      </w:r>
      <w:proofErr w:type="spellStart"/>
      <w:r w:rsidR="00973ED2" w:rsidRPr="00973ED2">
        <w:rPr>
          <w:rFonts w:ascii="Verdana" w:hAnsi="Verdana" w:cstheme="majorBidi"/>
          <w:color w:val="008000"/>
          <w:u w:val="dash"/>
          <w:lang w:val="es-ES"/>
        </w:rPr>
        <w:t>retroanálisis</w:t>
      </w:r>
      <w:proofErr w:type="spellEnd"/>
      <w:r w:rsidR="00973ED2" w:rsidRPr="00973ED2">
        <w:rPr>
          <w:rFonts w:ascii="Verdana" w:hAnsi="Verdana" w:cstheme="majorBidi"/>
          <w:color w:val="008000"/>
          <w:u w:val="dash"/>
          <w:lang w:val="es-ES"/>
        </w:rPr>
        <w:t xml:space="preserve"> </w:t>
      </w:r>
      <w:r w:rsidR="00973ED2" w:rsidRPr="00973ED2">
        <w:rPr>
          <w:rFonts w:ascii="Verdana" w:hAnsi="Verdana" w:cstheme="majorBidi"/>
          <w:i/>
          <w:iCs/>
          <w:color w:val="008000"/>
          <w:u w:val="dash"/>
          <w:lang w:val="es-ES"/>
        </w:rPr>
        <w:t>[Hong Kong, China]</w:t>
      </w:r>
      <w:r w:rsidR="00424711" w:rsidRPr="009025B9">
        <w:rPr>
          <w:rFonts w:ascii="Verdana" w:hAnsi="Verdana" w:cstheme="majorBidi"/>
          <w:color w:val="008000"/>
          <w:lang w:val="es-ES"/>
        </w:rPr>
        <w:t xml:space="preserve"> </w:t>
      </w:r>
      <w:r>
        <w:rPr>
          <w:rFonts w:ascii="Verdana" w:hAnsi="Verdana" w:cstheme="majorBidi"/>
          <w:color w:val="000000" w:themeColor="text1"/>
          <w:lang w:val="es-ES"/>
        </w:rPr>
        <w:t xml:space="preserve">suministrados por los Centros Mundiales de Producción de Predicciones </w:t>
      </w:r>
      <w:proofErr w:type="spellStart"/>
      <w:r>
        <w:rPr>
          <w:rFonts w:ascii="Verdana" w:hAnsi="Verdana" w:cstheme="majorBidi"/>
          <w:color w:val="000000" w:themeColor="text1"/>
          <w:lang w:val="es-ES"/>
        </w:rPr>
        <w:t>Subestacionales</w:t>
      </w:r>
      <w:proofErr w:type="spellEnd"/>
      <w:r>
        <w:rPr>
          <w:rFonts w:ascii="Verdana" w:hAnsi="Verdana" w:cstheme="majorBidi"/>
          <w:color w:val="000000" w:themeColor="text1"/>
          <w:lang w:val="es-ES"/>
        </w:rPr>
        <w:t xml:space="preserve">, </w:t>
      </w:r>
      <w:r w:rsidRPr="00762178">
        <w:rPr>
          <w:rFonts w:ascii="Verdana" w:hAnsi="Verdana" w:cstheme="majorBidi"/>
          <w:strike/>
          <w:color w:val="FF0000"/>
          <w:u w:val="dash"/>
          <w:lang w:val="es-ES"/>
        </w:rPr>
        <w:t>incluidas</w:t>
      </w:r>
      <w:r w:rsidRPr="00762178">
        <w:rPr>
          <w:rFonts w:ascii="Verdana" w:hAnsi="Verdana" w:cstheme="majorBidi"/>
          <w:color w:val="FF0000"/>
          <w:u w:val="dash"/>
          <w:lang w:val="es-ES"/>
        </w:rPr>
        <w:t xml:space="preserve"> </w:t>
      </w:r>
      <w:r w:rsidR="00762178" w:rsidRPr="00762178">
        <w:rPr>
          <w:rFonts w:ascii="Verdana" w:hAnsi="Verdana" w:cstheme="majorBidi"/>
          <w:color w:val="008000"/>
          <w:u w:val="dash"/>
          <w:lang w:val="es-ES"/>
        </w:rPr>
        <w:t>incluidos</w:t>
      </w:r>
      <w:r w:rsidR="00762178" w:rsidRPr="00762178">
        <w:rPr>
          <w:rFonts w:ascii="Verdana" w:hAnsi="Verdana" w:cstheme="majorBidi"/>
          <w:color w:val="008000"/>
          <w:lang w:val="es-ES"/>
        </w:rPr>
        <w:t xml:space="preserve"> </w:t>
      </w:r>
      <w:r>
        <w:rPr>
          <w:rFonts w:ascii="Verdana" w:hAnsi="Verdana" w:cstheme="majorBidi"/>
          <w:color w:val="000000" w:themeColor="text1"/>
          <w:lang w:val="es-ES"/>
        </w:rPr>
        <w:t xml:space="preserve">(en el caso de los Centros Mundiales de Producción que permiten la redistribución de sus datos digitales) </w:t>
      </w:r>
      <w:r w:rsidRPr="00762178">
        <w:rPr>
          <w:rFonts w:ascii="Verdana" w:hAnsi="Verdana" w:cstheme="majorBidi"/>
          <w:strike/>
          <w:color w:val="FF0000"/>
          <w:u w:val="dash"/>
          <w:lang w:val="es-ES"/>
        </w:rPr>
        <w:t xml:space="preserve">las anomalías medias semanales respecto a la media de los conjuntos </w:t>
      </w:r>
      <w:r w:rsidR="00DD1D95" w:rsidRPr="00DD1D95">
        <w:rPr>
          <w:rFonts w:ascii="Verdana" w:hAnsi="Verdana" w:cstheme="majorBidi"/>
          <w:color w:val="008000"/>
          <w:u w:val="dash"/>
          <w:lang w:val="es-ES"/>
        </w:rPr>
        <w:t>los campos diarios</w:t>
      </w:r>
      <w:r w:rsidR="00DD1D95">
        <w:rPr>
          <w:rFonts w:ascii="Verdana" w:hAnsi="Verdana" w:cstheme="majorBidi"/>
          <w:color w:val="008000"/>
          <w:u w:val="dash"/>
          <w:lang w:val="es-ES"/>
        </w:rPr>
        <w:t xml:space="preserve"> de pronósticos individuales </w:t>
      </w:r>
      <w:r>
        <w:rPr>
          <w:rFonts w:ascii="Verdana" w:hAnsi="Verdana" w:cstheme="majorBidi"/>
          <w:color w:val="000000" w:themeColor="text1"/>
          <w:lang w:val="es-ES"/>
        </w:rPr>
        <w:t xml:space="preserve">para al menos cada una de las cuatro semanas posteriores a la </w:t>
      </w:r>
      <w:r w:rsidRPr="008E0D3A">
        <w:rPr>
          <w:rFonts w:ascii="Verdana" w:hAnsi="Verdana" w:cstheme="majorBidi"/>
          <w:strike/>
          <w:color w:val="FF0000"/>
          <w:u w:val="dash"/>
          <w:lang w:val="es-ES"/>
        </w:rPr>
        <w:t>semana en que se suministraron</w:t>
      </w:r>
      <w:r w:rsidR="008E0D3A">
        <w:rPr>
          <w:rFonts w:ascii="Verdana" w:hAnsi="Verdana" w:cstheme="majorBidi"/>
          <w:strike/>
          <w:color w:val="FF0000"/>
          <w:u w:val="dash"/>
          <w:lang w:val="es-ES"/>
        </w:rPr>
        <w:t xml:space="preserve"> </w:t>
      </w:r>
      <w:r w:rsidR="008E0D3A" w:rsidRPr="008E0D3A">
        <w:rPr>
          <w:rFonts w:ascii="Verdana" w:hAnsi="Verdana" w:cstheme="majorBidi"/>
          <w:color w:val="008000"/>
          <w:u w:val="dash"/>
          <w:lang w:val="es-ES"/>
        </w:rPr>
        <w:t>fecha de inici</w:t>
      </w:r>
      <w:r w:rsidR="008609D2">
        <w:rPr>
          <w:rFonts w:ascii="Verdana" w:hAnsi="Verdana" w:cstheme="majorBidi"/>
          <w:color w:val="008000"/>
          <w:u w:val="dash"/>
          <w:lang w:val="es-ES"/>
        </w:rPr>
        <w:t xml:space="preserve">alización </w:t>
      </w:r>
      <w:r w:rsidR="008E0D3A" w:rsidRPr="008E0D3A">
        <w:rPr>
          <w:rFonts w:ascii="Verdana" w:hAnsi="Verdana" w:cstheme="majorBidi"/>
          <w:color w:val="008000"/>
          <w:u w:val="dash"/>
          <w:lang w:val="es-ES"/>
        </w:rPr>
        <w:t>del pronóstico</w:t>
      </w:r>
      <w:r>
        <w:rPr>
          <w:rFonts w:ascii="Verdana" w:hAnsi="Verdana" w:cstheme="majorBidi"/>
          <w:color w:val="000000" w:themeColor="text1"/>
          <w:lang w:val="es-ES"/>
        </w:rPr>
        <w:t>:</w:t>
      </w:r>
      <w:bookmarkStart w:id="6" w:name="_p_37ddbdc7a1404c2799a4e0b5909929ea"/>
      <w:bookmarkEnd w:id="6"/>
    </w:p>
    <w:p w14:paraId="7487A38C" w14:textId="77777777" w:rsidR="00425727" w:rsidRDefault="00425727" w:rsidP="00425727">
      <w:pPr>
        <w:pStyle w:val="Indent1NOspaceafter"/>
        <w:rPr>
          <w:lang w:val="es-ES" w:eastAsia="en-US"/>
        </w:rPr>
      </w:pPr>
      <w:r>
        <w:rPr>
          <w:lang w:val="es-ES"/>
        </w:rPr>
        <w:t>a)</w:t>
      </w:r>
      <w:r>
        <w:rPr>
          <w:lang w:val="es-ES"/>
        </w:rPr>
        <w:tab/>
        <w:t>temperatura en superficie (2 m);</w:t>
      </w:r>
      <w:bookmarkStart w:id="7" w:name="_p_2399481104864a08bc4a24b76c12dcf2"/>
      <w:bookmarkEnd w:id="7"/>
    </w:p>
    <w:p w14:paraId="129A3AAE" w14:textId="77777777" w:rsidR="00425727" w:rsidRDefault="00425727" w:rsidP="00425727">
      <w:pPr>
        <w:pStyle w:val="Indent1NOspaceafter"/>
        <w:rPr>
          <w:lang w:val="es-ES"/>
        </w:rPr>
      </w:pPr>
      <w:r>
        <w:rPr>
          <w:lang w:val="es-ES"/>
        </w:rPr>
        <w:t>b)</w:t>
      </w:r>
      <w:r>
        <w:rPr>
          <w:lang w:val="es-ES"/>
        </w:rPr>
        <w:tab/>
        <w:t>temperatura superficial del mar (TSM);</w:t>
      </w:r>
      <w:bookmarkStart w:id="8" w:name="_p_8f6ff01ea9384271be5630fdfdeb74ad"/>
      <w:bookmarkEnd w:id="8"/>
    </w:p>
    <w:p w14:paraId="41C9F2C3" w14:textId="77777777" w:rsidR="00425727" w:rsidRDefault="00425727" w:rsidP="00425727">
      <w:pPr>
        <w:pStyle w:val="Indent1NOspaceafter"/>
        <w:rPr>
          <w:lang w:val="es-ES"/>
        </w:rPr>
      </w:pPr>
      <w:r>
        <w:rPr>
          <w:lang w:val="es-ES"/>
        </w:rPr>
        <w:t>c)</w:t>
      </w:r>
      <w:r>
        <w:rPr>
          <w:lang w:val="es-ES"/>
        </w:rPr>
        <w:tab/>
        <w:t>intensidad de la precipitación total;</w:t>
      </w:r>
      <w:bookmarkStart w:id="9" w:name="_p_73143226b9414cccb6e783653ebd8410"/>
      <w:bookmarkEnd w:id="9"/>
    </w:p>
    <w:p w14:paraId="7B72FC9A" w14:textId="77777777" w:rsidR="00425727" w:rsidRDefault="00425727" w:rsidP="00425727">
      <w:pPr>
        <w:pStyle w:val="Indent1NOspaceafter"/>
        <w:rPr>
          <w:lang w:val="es-ES"/>
        </w:rPr>
      </w:pPr>
      <w:r>
        <w:rPr>
          <w:lang w:val="es-ES"/>
        </w:rPr>
        <w:t>d)</w:t>
      </w:r>
      <w:r>
        <w:rPr>
          <w:lang w:val="es-ES"/>
        </w:rPr>
        <w:tab/>
        <w:t>presión media al nivel del mar;</w:t>
      </w:r>
      <w:bookmarkStart w:id="10" w:name="_p_8e1a6eedb8844e47b9ed5a7a55cf94c5"/>
      <w:bookmarkEnd w:id="10"/>
    </w:p>
    <w:p w14:paraId="05519104" w14:textId="77777777" w:rsidR="00425727" w:rsidRDefault="00425727" w:rsidP="00425727">
      <w:pPr>
        <w:pStyle w:val="Indent1NOspaceafter"/>
        <w:rPr>
          <w:lang w:val="es-ES"/>
        </w:rPr>
      </w:pPr>
      <w:r>
        <w:rPr>
          <w:lang w:val="es-ES"/>
        </w:rPr>
        <w:t>e)</w:t>
      </w:r>
      <w:r>
        <w:rPr>
          <w:lang w:val="es-ES"/>
        </w:rPr>
        <w:tab/>
        <w:t>temperatura a 850 hPa;</w:t>
      </w:r>
      <w:bookmarkStart w:id="11" w:name="_p_5c50bb046fde4ecbb99f72c35c3a0c98"/>
      <w:bookmarkEnd w:id="11"/>
    </w:p>
    <w:p w14:paraId="2534FDAD" w14:textId="77777777" w:rsidR="00425727" w:rsidRDefault="00425727" w:rsidP="00425727">
      <w:pPr>
        <w:pStyle w:val="Indent1NOspaceafter"/>
        <w:rPr>
          <w:lang w:val="es-ES"/>
        </w:rPr>
      </w:pPr>
      <w:r>
        <w:rPr>
          <w:lang w:val="es-ES"/>
        </w:rPr>
        <w:t>f)</w:t>
      </w:r>
      <w:r>
        <w:rPr>
          <w:lang w:val="es-ES"/>
        </w:rPr>
        <w:tab/>
        <w:t>altura geopotencial a 500 hPa;</w:t>
      </w:r>
      <w:bookmarkStart w:id="12" w:name="_p_5fba59fecbdc47b79dba87645370f2b5"/>
      <w:bookmarkEnd w:id="12"/>
    </w:p>
    <w:p w14:paraId="7CF4AAAA" w14:textId="77777777" w:rsidR="00425727" w:rsidRDefault="00425727" w:rsidP="00425727">
      <w:pPr>
        <w:pStyle w:val="Indent1NOspaceafter"/>
        <w:rPr>
          <w:lang w:val="es-ES"/>
        </w:rPr>
      </w:pPr>
      <w:r>
        <w:rPr>
          <w:lang w:val="es-ES"/>
        </w:rPr>
        <w:t>g)</w:t>
      </w:r>
      <w:r>
        <w:rPr>
          <w:lang w:val="es-ES"/>
        </w:rPr>
        <w:tab/>
        <w:t>viento a 850 y 200 hPa (zonal y meridional);</w:t>
      </w:r>
      <w:bookmarkStart w:id="13" w:name="_p_1ed81336daf1425d85a541cf94622c2d"/>
      <w:bookmarkEnd w:id="13"/>
    </w:p>
    <w:p w14:paraId="51442D46" w14:textId="77777777" w:rsidR="00425727" w:rsidRDefault="00425727" w:rsidP="00425727">
      <w:pPr>
        <w:pStyle w:val="Indent1NOspaceafter"/>
        <w:rPr>
          <w:lang w:val="es-ES"/>
        </w:rPr>
      </w:pPr>
      <w:r>
        <w:rPr>
          <w:lang w:val="es-ES"/>
        </w:rPr>
        <w:t>h)</w:t>
      </w:r>
      <w:r>
        <w:rPr>
          <w:lang w:val="es-ES"/>
        </w:rPr>
        <w:tab/>
      </w:r>
      <w:bookmarkStart w:id="14" w:name="_p_9e0ca3376b4c4dc08b7ab181aecf1f72"/>
      <w:bookmarkStart w:id="15" w:name="_p_43c7dfdea62841dd8e4d30eb0cd7f13c"/>
      <w:bookmarkEnd w:id="14"/>
      <w:bookmarkEnd w:id="15"/>
      <w:r>
        <w:rPr>
          <w:lang w:val="es-ES"/>
        </w:rPr>
        <w:t>radiación saliente de onda larga en la cima de la atmósfera;</w:t>
      </w:r>
    </w:p>
    <w:p w14:paraId="3F89B776" w14:textId="77777777" w:rsidR="00425727" w:rsidRDefault="00425727" w:rsidP="00425727">
      <w:pPr>
        <w:pStyle w:val="Indent1NOspaceafter"/>
        <w:rPr>
          <w:lang w:val="es-ES"/>
        </w:rPr>
      </w:pPr>
      <w:r>
        <w:rPr>
          <w:lang w:val="es-ES"/>
        </w:rPr>
        <w:t>i)</w:t>
      </w:r>
      <w:r>
        <w:rPr>
          <w:lang w:val="es-ES"/>
        </w:rPr>
        <w:tab/>
        <w:t>viento zonal a 10 hPa.</w:t>
      </w:r>
    </w:p>
    <w:p w14:paraId="21500C53" w14:textId="77777777" w:rsidR="00425727" w:rsidRDefault="00425727" w:rsidP="00425727">
      <w:pPr>
        <w:pStyle w:val="Note"/>
        <w:rPr>
          <w:lang w:val="es-ES"/>
        </w:rPr>
      </w:pPr>
      <w:r>
        <w:rPr>
          <w:lang w:val="es-ES"/>
        </w:rPr>
        <w:t>Nota:</w:t>
      </w:r>
      <w:r>
        <w:rPr>
          <w:lang w:val="es-ES"/>
        </w:rPr>
        <w:tab/>
        <w:t xml:space="preserve">El contenido y el formato aplicables a los datos suministrados por los Centros Mundiales de Producción al Centro o Centros Principales de Predicción </w:t>
      </w:r>
      <w:proofErr w:type="spellStart"/>
      <w:r>
        <w:rPr>
          <w:lang w:val="es-ES"/>
        </w:rPr>
        <w:t>Subestacional</w:t>
      </w:r>
      <w:proofErr w:type="spellEnd"/>
      <w:r>
        <w:rPr>
          <w:lang w:val="es-ES"/>
        </w:rPr>
        <w:t xml:space="preserve"> mediante Conjuntos Multimodelos, así como las condiciones que rigen tales intercambios, están definidos en el sitio web del Centro o Centros Principales.</w:t>
      </w:r>
      <w:bookmarkStart w:id="16" w:name="_p_631f07a81ad346b488624ba0bc794a9a"/>
      <w:bookmarkEnd w:id="16"/>
    </w:p>
    <w:p w14:paraId="16F5998E" w14:textId="77777777" w:rsidR="00425727" w:rsidRDefault="00425727" w:rsidP="00425727">
      <w:pPr>
        <w:pStyle w:val="Heading2NOToC"/>
        <w:rPr>
          <w:rFonts w:ascii="Verdana" w:hAnsi="Verdana" w:cstheme="majorBidi"/>
          <w:color w:val="000000" w:themeColor="text1"/>
          <w:sz w:val="20"/>
          <w:szCs w:val="20"/>
          <w:lang w:val="es-ES" w:eastAsia="zh-TW"/>
        </w:rPr>
      </w:pPr>
      <w:r>
        <w:rPr>
          <w:rFonts w:ascii="Verdana" w:hAnsi="Verdana" w:cstheme="majorBidi"/>
          <w:color w:val="000000" w:themeColor="text1"/>
          <w:sz w:val="20"/>
          <w:szCs w:val="20"/>
          <w:lang w:val="es-ES" w:eastAsia="zh-TW"/>
        </w:rPr>
        <w:t>2.</w:t>
      </w:r>
      <w:r>
        <w:rPr>
          <w:rFonts w:ascii="Verdana" w:hAnsi="Verdana" w:cstheme="majorBidi"/>
          <w:color w:val="000000" w:themeColor="text1"/>
          <w:sz w:val="20"/>
          <w:szCs w:val="20"/>
          <w:lang w:val="es-ES" w:eastAsia="zh-TW"/>
        </w:rPr>
        <w:tab/>
      </w:r>
      <w:bookmarkStart w:id="17" w:name="_p_411f456c61904e769890ca8ddd2e6259"/>
      <w:bookmarkEnd w:id="17"/>
      <w:r>
        <w:rPr>
          <w:rFonts w:ascii="Verdana" w:hAnsi="Verdana" w:cstheme="majorBidi"/>
          <w:color w:val="000000" w:themeColor="text1"/>
          <w:sz w:val="20"/>
          <w:szCs w:val="20"/>
          <w:lang w:val="es-ES" w:eastAsia="zh-TW"/>
        </w:rPr>
        <w:t>Productos gráficos</w:t>
      </w:r>
    </w:p>
    <w:p w14:paraId="6710A869" w14:textId="77777777" w:rsidR="00425727" w:rsidRDefault="00425727" w:rsidP="00425727">
      <w:pPr>
        <w:pStyle w:val="Bodytext1"/>
        <w:rPr>
          <w:rFonts w:ascii="Verdana" w:hAnsi="Verdana" w:cstheme="majorBidi"/>
          <w:color w:val="000000" w:themeColor="text1"/>
          <w:szCs w:val="22"/>
          <w:lang w:val="es-ES"/>
        </w:rPr>
      </w:pPr>
      <w:r>
        <w:rPr>
          <w:rFonts w:ascii="Verdana" w:hAnsi="Verdana" w:cstheme="majorBidi"/>
          <w:color w:val="000000" w:themeColor="text1"/>
          <w:lang w:val="es-ES"/>
        </w:rPr>
        <w:t xml:space="preserve">Gráficos y mapas para cada una de las predicciones de los Centros Mundiales de Producción visualizadas en formato común en el sitio web del Centro o Centros Principales, respecto de las variables indicadas en el </w:t>
      </w:r>
      <w:r>
        <w:rPr>
          <w:rFonts w:ascii="Verdana" w:hAnsi="Verdana" w:cstheme="majorBidi"/>
          <w:color w:val="000000" w:themeColor="text1"/>
        </w:rPr>
        <w:fldChar w:fldCharType="begin"/>
      </w:r>
      <w:r>
        <w:rPr>
          <w:rFonts w:ascii="Verdana" w:hAnsi="Verdana" w:cstheme="majorBidi"/>
          <w:color w:val="000000" w:themeColor="text1"/>
          <w:lang w:val="es-ES"/>
        </w:rPr>
        <w:instrText xml:space="preserve"> MACROBUTTON TPS_Hyperlink HYPERLINK: Paragraph &lt;</w:instrText>
      </w:r>
      <w:r>
        <w:rPr>
          <w:rFonts w:ascii="Verdana" w:hAnsi="Verdana" w:cstheme="majorBidi"/>
          <w:color w:val="000000" w:themeColor="text1"/>
        </w:rPr>
        <w:fldChar w:fldCharType="begin"/>
      </w:r>
      <w:r>
        <w:rPr>
          <w:rFonts w:ascii="Verdana" w:hAnsi="Verdana" w:cstheme="majorBidi"/>
          <w:color w:val="000000" w:themeColor="text1"/>
          <w:lang w:val="es-ES"/>
        </w:rPr>
        <w:instrText xml:space="preserve"> SourceType="Paragraph" SourceID="cf0c019c-73a4-4519-afa0-acafd94a718b" SourceName="_p_cf0c019c73a44519afa0acafd94a718b" </w:instrText>
      </w:r>
      <w:r>
        <w:rPr>
          <w:rFonts w:ascii="Verdana" w:hAnsi="Verdana" w:cstheme="majorBidi"/>
          <w:color w:val="000000" w:themeColor="text1"/>
        </w:rPr>
        <w:fldChar w:fldCharType="end"/>
      </w:r>
      <w:r>
        <w:rPr>
          <w:rFonts w:ascii="Verdana" w:hAnsi="Verdana" w:cstheme="majorBidi"/>
          <w:color w:val="000000" w:themeColor="text1"/>
        </w:rPr>
        <w:fldChar w:fldCharType="end"/>
      </w:r>
      <w:r>
        <w:rPr>
          <w:rStyle w:val="Hyperlink"/>
          <w:lang w:val="es-ES"/>
        </w:rPr>
        <w:t>apéndice 2.2.41</w:t>
      </w:r>
      <w:r>
        <w:rPr>
          <w:rFonts w:ascii="Verdana" w:hAnsi="Verdana" w:cstheme="majorBidi"/>
          <w:color w:val="000000" w:themeColor="text1"/>
        </w:rPr>
        <w:fldChar w:fldCharType="begin"/>
      </w:r>
      <w:r>
        <w:rPr>
          <w:rFonts w:ascii="Verdana" w:hAnsi="Verdana" w:cstheme="majorBidi"/>
          <w:color w:val="000000" w:themeColor="text1"/>
          <w:lang w:val="es-ES"/>
        </w:rPr>
        <w:instrText xml:space="preserve"> MACROBUTTON TPS_HyperlinkEnd &gt; </w:instrText>
      </w:r>
      <w:r>
        <w:rPr>
          <w:rFonts w:ascii="Verdana" w:hAnsi="Verdana" w:cstheme="majorBidi"/>
          <w:color w:val="000000" w:themeColor="text1"/>
        </w:rPr>
        <w:fldChar w:fldCharType="end"/>
      </w:r>
      <w:r>
        <w:rPr>
          <w:rFonts w:ascii="Verdana" w:hAnsi="Verdana" w:cstheme="majorBidi"/>
          <w:color w:val="000000" w:themeColor="text1"/>
          <w:lang w:val="es-ES"/>
        </w:rPr>
        <w:t xml:space="preserve"> y para determinadas regiones, según el caso</w:t>
      </w:r>
      <w:bookmarkStart w:id="18" w:name="_p_659f6dad17bf48c89f3b696af03f9488"/>
      <w:bookmarkEnd w:id="18"/>
      <w:r>
        <w:rPr>
          <w:rFonts w:ascii="Verdana" w:hAnsi="Verdana" w:cstheme="majorBidi"/>
          <w:color w:val="000000" w:themeColor="text1"/>
          <w:lang w:val="es-ES"/>
        </w:rPr>
        <w:t>:</w:t>
      </w:r>
    </w:p>
    <w:p w14:paraId="0519BD75" w14:textId="77777777" w:rsidR="00425727" w:rsidRDefault="00425727" w:rsidP="00425727">
      <w:pPr>
        <w:pStyle w:val="Bodytext1"/>
        <w:rPr>
          <w:rFonts w:ascii="Verdana" w:hAnsi="Verdana" w:cstheme="majorBidi"/>
          <w:color w:val="000000" w:themeColor="text1"/>
          <w:lang w:val="es-ES"/>
        </w:rPr>
      </w:pPr>
      <w:r>
        <w:rPr>
          <w:rFonts w:ascii="Verdana" w:hAnsi="Verdana" w:cstheme="majorBidi"/>
          <w:color w:val="000000" w:themeColor="text1"/>
          <w:lang w:val="es-ES"/>
        </w:rPr>
        <w:t>Para las semanas 1, 2, 3-4 y 1-4:</w:t>
      </w:r>
      <w:bookmarkStart w:id="19" w:name="_p_731b53a9db19460cad30de907ecb5e5a"/>
      <w:bookmarkEnd w:id="19"/>
    </w:p>
    <w:p w14:paraId="4785E7E7" w14:textId="77777777" w:rsidR="00425727" w:rsidRDefault="00425727" w:rsidP="00425727">
      <w:pPr>
        <w:pStyle w:val="Indent1"/>
        <w:rPr>
          <w:lang w:val="es-ES" w:eastAsia="en-US"/>
        </w:rPr>
      </w:pPr>
      <w:r>
        <w:rPr>
          <w:lang w:val="es-ES"/>
        </w:rPr>
        <w:t>a)</w:t>
      </w:r>
      <w:r>
        <w:rPr>
          <w:lang w:val="es-ES"/>
        </w:rPr>
        <w:tab/>
        <w:t>anomalías respecto a la media de los conjuntos;</w:t>
      </w:r>
      <w:bookmarkStart w:id="20" w:name="_p_9ce96e4fed89404e9bc965871582b1b0"/>
      <w:bookmarkEnd w:id="20"/>
    </w:p>
    <w:p w14:paraId="771E5DCF" w14:textId="77777777" w:rsidR="00425727" w:rsidRDefault="00425727" w:rsidP="00425727">
      <w:pPr>
        <w:pStyle w:val="Indent1"/>
        <w:rPr>
          <w:lang w:val="es-ES"/>
        </w:rPr>
      </w:pPr>
      <w:r>
        <w:rPr>
          <w:lang w:val="es-ES"/>
        </w:rPr>
        <w:t>b)</w:t>
      </w:r>
      <w:r>
        <w:rPr>
          <w:lang w:val="es-ES"/>
        </w:rPr>
        <w:tab/>
        <w:t>probabilidades para las categorías de predicción por terciles;</w:t>
      </w:r>
      <w:bookmarkStart w:id="21" w:name="_p_437f6dbde31e4188a475320be7358467"/>
      <w:bookmarkEnd w:id="21"/>
    </w:p>
    <w:p w14:paraId="6301C6AF" w14:textId="77777777" w:rsidR="00425727" w:rsidRDefault="00425727" w:rsidP="00425727">
      <w:pPr>
        <w:pStyle w:val="Indent1"/>
        <w:rPr>
          <w:lang w:val="es-ES"/>
        </w:rPr>
      </w:pPr>
      <w:r>
        <w:rPr>
          <w:lang w:val="es-ES"/>
        </w:rPr>
        <w:lastRenderedPageBreak/>
        <w:t>c)</w:t>
      </w:r>
      <w:r>
        <w:rPr>
          <w:lang w:val="es-ES"/>
        </w:rPr>
        <w:tab/>
        <w:t>gráficos de coherencia de los modelos, es decir, representaciones gráficas que indiquen la proporción de modelos que predicen anomalías del mismo signo;</w:t>
      </w:r>
      <w:bookmarkStart w:id="22" w:name="_p_2c6288b129af4591be00909c373e773b"/>
      <w:bookmarkEnd w:id="22"/>
    </w:p>
    <w:p w14:paraId="56300469" w14:textId="77777777" w:rsidR="00425727" w:rsidRDefault="00425727" w:rsidP="00425727">
      <w:pPr>
        <w:pStyle w:val="Indent1"/>
        <w:rPr>
          <w:lang w:val="es-ES"/>
        </w:rPr>
      </w:pPr>
      <w:r>
        <w:rPr>
          <w:lang w:val="es-ES"/>
        </w:rPr>
        <w:t>d)</w:t>
      </w:r>
      <w:r>
        <w:rPr>
          <w:lang w:val="es-ES"/>
        </w:rPr>
        <w:tab/>
        <w:t xml:space="preserve">probabilidades </w:t>
      </w:r>
      <w:proofErr w:type="spellStart"/>
      <w:r>
        <w:rPr>
          <w:lang w:val="es-ES"/>
        </w:rPr>
        <w:t>multimodelos</w:t>
      </w:r>
      <w:proofErr w:type="spellEnd"/>
      <w:r>
        <w:rPr>
          <w:lang w:val="es-ES"/>
        </w:rPr>
        <w:t xml:space="preserve"> para las categorías de predicción por terciles.</w:t>
      </w:r>
      <w:bookmarkStart w:id="23" w:name="_p_892d4573e41042c9b7287c2986180794"/>
      <w:bookmarkEnd w:id="23"/>
    </w:p>
    <w:p w14:paraId="0B260C03" w14:textId="77777777" w:rsidR="00425727" w:rsidRDefault="00425727" w:rsidP="00425727">
      <w:pPr>
        <w:pStyle w:val="Bodytext1"/>
        <w:rPr>
          <w:rFonts w:ascii="Verdana" w:hAnsi="Verdana" w:cstheme="majorBidi"/>
          <w:color w:val="000000" w:themeColor="text1"/>
          <w:lang w:val="es-ES" w:eastAsia="ko-KR"/>
        </w:rPr>
      </w:pPr>
      <w:r>
        <w:rPr>
          <w:rFonts w:ascii="Verdana" w:hAnsi="Verdana" w:cstheme="majorBidi"/>
          <w:color w:val="000000" w:themeColor="text1"/>
          <w:lang w:val="es-ES" w:eastAsia="ko-KR"/>
        </w:rPr>
        <w:t xml:space="preserve">Para la variabilidad </w:t>
      </w:r>
      <w:proofErr w:type="spellStart"/>
      <w:r>
        <w:rPr>
          <w:rFonts w:ascii="Verdana" w:hAnsi="Verdana" w:cstheme="majorBidi"/>
          <w:color w:val="000000" w:themeColor="text1"/>
          <w:lang w:val="es-ES" w:eastAsia="ko-KR"/>
        </w:rPr>
        <w:t>intraestacional</w:t>
      </w:r>
      <w:proofErr w:type="spellEnd"/>
      <w:r>
        <w:rPr>
          <w:rFonts w:ascii="Verdana" w:hAnsi="Verdana" w:cstheme="majorBidi"/>
          <w:color w:val="000000" w:themeColor="text1"/>
          <w:lang w:val="es-ES" w:eastAsia="ko-KR"/>
        </w:rPr>
        <w:t>:</w:t>
      </w:r>
      <w:bookmarkStart w:id="24" w:name="_p_393b92b2a409493ea7b6923533e48f7b"/>
      <w:bookmarkEnd w:id="24"/>
    </w:p>
    <w:p w14:paraId="4DA776BA" w14:textId="77777777" w:rsidR="00425727" w:rsidRDefault="00425727" w:rsidP="00425727">
      <w:pPr>
        <w:pStyle w:val="Indent1"/>
        <w:rPr>
          <w:rFonts w:eastAsia="Malgun Gothic"/>
          <w:lang w:val="es-ES" w:eastAsia="ko-KR"/>
        </w:rPr>
      </w:pPr>
      <w:r>
        <w:rPr>
          <w:rFonts w:eastAsia="Malgun Gothic"/>
          <w:lang w:val="es-ES" w:eastAsia="ko-KR"/>
        </w:rPr>
        <w:t>a)</w:t>
      </w:r>
      <w:r>
        <w:rPr>
          <w:rFonts w:eastAsia="Malgun Gothic"/>
          <w:lang w:val="es-ES" w:eastAsia="ko-KR"/>
        </w:rPr>
        <w:tab/>
        <w:t xml:space="preserve">gráficos que presentan las predicciones de la variabilidad </w:t>
      </w:r>
      <w:proofErr w:type="spellStart"/>
      <w:r>
        <w:rPr>
          <w:rFonts w:eastAsia="Malgun Gothic"/>
          <w:lang w:val="es-ES" w:eastAsia="ko-KR"/>
        </w:rPr>
        <w:t>intraestacional</w:t>
      </w:r>
      <w:proofErr w:type="spellEnd"/>
      <w:r>
        <w:rPr>
          <w:rFonts w:eastAsia="Malgun Gothic"/>
          <w:lang w:val="es-ES" w:eastAsia="ko-KR"/>
        </w:rPr>
        <w:t xml:space="preserve"> tropical, como la oscilación Madden-Julian, realizadas por cada Centro Mundial de Producción. </w:t>
      </w:r>
      <w:bookmarkStart w:id="25" w:name="_p_4f5e6963d3f648b3b189de43d1e33a2f"/>
      <w:bookmarkEnd w:id="25"/>
    </w:p>
    <w:p w14:paraId="2C829AC8" w14:textId="77777777" w:rsidR="00425727" w:rsidRDefault="00425727" w:rsidP="00425727">
      <w:pPr>
        <w:pStyle w:val="THEEND"/>
        <w:rPr>
          <w:rFonts w:eastAsia="Malgun Gothic"/>
          <w:lang w:val="es-ES"/>
        </w:rPr>
      </w:pPr>
    </w:p>
    <w:bookmarkStart w:id="26" w:name="_p_8bf67aecc5c444f3a27ac253a7702af2"/>
    <w:bookmarkEnd w:id="26"/>
    <w:p w14:paraId="2978C300" w14:textId="77777777" w:rsidR="00425727" w:rsidRDefault="00425727" w:rsidP="00425727">
      <w:pPr>
        <w:pStyle w:val="TPSSection"/>
      </w:pPr>
      <w:r>
        <w:fldChar w:fldCharType="begin"/>
      </w:r>
      <w:r>
        <w:instrText xml:space="preserve"> MACROBUTTON TPS_Section SECTION: Chapter</w:instrText>
      </w:r>
      <w:r>
        <w:rPr>
          <w:vanish/>
        </w:rPr>
        <w:fldChar w:fldCharType="begin"/>
      </w:r>
      <w:r>
        <w:rPr>
          <w:vanish/>
        </w:rPr>
        <w:instrText xml:space="preserve"> Name="Chapter" ID="efddfeb7-3bd8-40f4-bddb-35ff66929028" </w:instrText>
      </w:r>
      <w:r>
        <w:fldChar w:fldCharType="end"/>
      </w:r>
      <w:r>
        <w:fldChar w:fldCharType="end"/>
      </w:r>
    </w:p>
    <w:p w14:paraId="18DD9066" w14:textId="77777777" w:rsidR="00425727" w:rsidRDefault="00425727" w:rsidP="00425727">
      <w:pPr>
        <w:pStyle w:val="TPSSectionData"/>
      </w:pPr>
      <w:r>
        <w:fldChar w:fldCharType="begin"/>
      </w:r>
      <w:r>
        <w:instrText xml:space="preserve"> MACROBUTTON TPS_SectionField Chapter title in running head: Parte II. Especificaciones de las activ…</w:instrText>
      </w:r>
      <w:r>
        <w:rPr>
          <w:vanish/>
        </w:rPr>
        <w:fldChar w:fldCharType="begin"/>
      </w:r>
      <w:r>
        <w:rPr>
          <w:vanish/>
        </w:rPr>
        <w:instrText xml:space="preserve"> Name="Chapter title in running head" Value="Parte II. Especificaciones de las actividades del sistema mundial de proceso de datos y de predicción" </w:instrText>
      </w:r>
      <w:r>
        <w:fldChar w:fldCharType="end"/>
      </w:r>
      <w:r>
        <w:fldChar w:fldCharType="end"/>
      </w:r>
    </w:p>
    <w:p w14:paraId="06F951C7" w14:textId="77777777" w:rsidR="00425727" w:rsidRDefault="00425727" w:rsidP="00425727">
      <w:pPr>
        <w:pStyle w:val="Chapterhead"/>
        <w:rPr>
          <w:lang w:val="es-ES"/>
        </w:rPr>
      </w:pPr>
      <w:r>
        <w:rPr>
          <w:caps w:val="0"/>
          <w:lang w:val="es-ES"/>
        </w:rPr>
        <w:t>APÉNDICE 2.2.44</w:t>
      </w:r>
      <w:r>
        <w:rPr>
          <w:lang w:val="es-ES"/>
        </w:rPr>
        <w:t>. ACCESO A DATOS Y PRODUCTOS DE VISUALIZACIÓN DE LOS CENTROS MUNDIALES DE PRODUCCIÓN DE PREDICCIONES SUBESTACIONALES EN PODER DE</w:t>
      </w:r>
      <w:r>
        <w:rPr>
          <w:rStyle w:val="Spacenon-breaking"/>
          <w:lang w:val="es-ES"/>
        </w:rPr>
        <w:t xml:space="preserve"> </w:t>
      </w:r>
      <w:r>
        <w:rPr>
          <w:lang w:val="es-ES"/>
        </w:rPr>
        <w:t>LOS</w:t>
      </w:r>
      <w:r>
        <w:rPr>
          <w:rStyle w:val="Spacenon-breaking"/>
          <w:lang w:val="es-ES"/>
        </w:rPr>
        <w:t xml:space="preserve"> </w:t>
      </w:r>
      <w:r>
        <w:rPr>
          <w:lang w:val="es-ES"/>
        </w:rPr>
        <w:t>CENTROS PRINCIPALES DE PREDICCIÓN SUBESTACIONAL MEDIANTE CONJUNTOS MULTIMODELOS</w:t>
      </w:r>
      <w:bookmarkStart w:id="27" w:name="_p_13b6b0423981475982298abfbb30f30c"/>
      <w:bookmarkEnd w:id="27"/>
    </w:p>
    <w:p w14:paraId="25C30607" w14:textId="77777777" w:rsidR="00425727" w:rsidRDefault="00425727" w:rsidP="00425727">
      <w:pPr>
        <w:pStyle w:val="Indent1"/>
        <w:rPr>
          <w:lang w:val="es-ES"/>
        </w:rPr>
      </w:pPr>
      <w:r>
        <w:rPr>
          <w:lang w:val="es-ES"/>
        </w:rPr>
        <w:t>a)</w:t>
      </w:r>
      <w:r>
        <w:rPr>
          <w:lang w:val="es-ES"/>
        </w:rPr>
        <w:tab/>
        <w:t xml:space="preserve">El acceso a los datos </w:t>
      </w:r>
      <w:r w:rsidRPr="00A54DEB">
        <w:rPr>
          <w:strike/>
          <w:color w:val="FF0000"/>
          <w:u w:val="dash"/>
          <w:lang w:val="es-ES"/>
        </w:rPr>
        <w:t xml:space="preserve">y productos gráficos </w:t>
      </w:r>
      <w:r>
        <w:rPr>
          <w:lang w:val="es-ES"/>
        </w:rPr>
        <w:t xml:space="preserve">de los Centros Mundiales de Producción de Predicciones </w:t>
      </w:r>
      <w:proofErr w:type="spellStart"/>
      <w:r>
        <w:rPr>
          <w:lang w:val="es-ES"/>
        </w:rPr>
        <w:t>Subestacionales</w:t>
      </w:r>
      <w:proofErr w:type="spellEnd"/>
      <w:r>
        <w:rPr>
          <w:lang w:val="es-ES"/>
        </w:rPr>
        <w:t xml:space="preserve"> en el sitio web del Centro o Centros Principales de Predicción </w:t>
      </w:r>
      <w:proofErr w:type="spellStart"/>
      <w:r>
        <w:rPr>
          <w:lang w:val="es-ES"/>
        </w:rPr>
        <w:t>Subestacional</w:t>
      </w:r>
      <w:proofErr w:type="spellEnd"/>
      <w:r>
        <w:rPr>
          <w:lang w:val="es-ES"/>
        </w:rPr>
        <w:t xml:space="preserve"> mediante Conjuntos Multimodelos estará protegido por contraseña.</w:t>
      </w:r>
      <w:bookmarkStart w:id="28" w:name="_p_24bdff24163344bd9fdfa98162215d2d"/>
      <w:bookmarkEnd w:id="28"/>
    </w:p>
    <w:p w14:paraId="45CB0000" w14:textId="77777777" w:rsidR="00425727" w:rsidRDefault="00425727" w:rsidP="00425727">
      <w:pPr>
        <w:pStyle w:val="Indent1"/>
        <w:rPr>
          <w:lang w:val="es-ES"/>
        </w:rPr>
      </w:pPr>
      <w:r>
        <w:rPr>
          <w:lang w:val="es-ES"/>
        </w:rPr>
        <w:t>b)</w:t>
      </w:r>
      <w:r>
        <w:rPr>
          <w:lang w:val="es-ES"/>
        </w:rPr>
        <w:tab/>
        <w:t xml:space="preserve">Los datos digitales de los Centros Mundiales de Producción de Predicciones </w:t>
      </w:r>
      <w:proofErr w:type="spellStart"/>
      <w:r>
        <w:rPr>
          <w:lang w:val="es-ES"/>
        </w:rPr>
        <w:t>Subestacionales</w:t>
      </w:r>
      <w:proofErr w:type="spellEnd"/>
      <w:r>
        <w:rPr>
          <w:lang w:val="es-ES"/>
        </w:rPr>
        <w:t xml:space="preserve"> serán redistribuidos únicamente cuando la política de datos de tales centros así lo permita. En otros casos, las peticiones de productos digitales de los Centros Mundiales de Producción de Predicciones </w:t>
      </w:r>
      <w:proofErr w:type="spellStart"/>
      <w:r>
        <w:rPr>
          <w:lang w:val="es-ES"/>
        </w:rPr>
        <w:t>Subestacionales</w:t>
      </w:r>
      <w:proofErr w:type="spellEnd"/>
      <w:r>
        <w:rPr>
          <w:lang w:val="es-ES"/>
        </w:rPr>
        <w:t xml:space="preserve"> deberían remitirse al Centro Mundial de Producción de Predicciones </w:t>
      </w:r>
      <w:proofErr w:type="spellStart"/>
      <w:r>
        <w:rPr>
          <w:lang w:val="es-ES"/>
        </w:rPr>
        <w:t>Subestacionales</w:t>
      </w:r>
      <w:proofErr w:type="spellEnd"/>
      <w:r>
        <w:rPr>
          <w:lang w:val="es-ES"/>
        </w:rPr>
        <w:t xml:space="preserve"> correspondiente.</w:t>
      </w:r>
      <w:bookmarkStart w:id="29" w:name="_p_7d7bf886ce4941bf912fa5a5cac82113"/>
      <w:bookmarkEnd w:id="29"/>
    </w:p>
    <w:p w14:paraId="17CBE874" w14:textId="77777777" w:rsidR="00425727" w:rsidRDefault="00425727" w:rsidP="00425727">
      <w:pPr>
        <w:pStyle w:val="Indent1"/>
        <w:rPr>
          <w:lang w:val="es-ES"/>
        </w:rPr>
      </w:pPr>
      <w:r>
        <w:rPr>
          <w:lang w:val="es-ES"/>
        </w:rPr>
        <w:t>c)</w:t>
      </w:r>
      <w:r>
        <w:rPr>
          <w:lang w:val="es-ES"/>
        </w:rPr>
        <w:tab/>
        <w:t xml:space="preserve">Los Centros Mundiales de Producción de Predicciones </w:t>
      </w:r>
      <w:proofErr w:type="spellStart"/>
      <w:r>
        <w:rPr>
          <w:lang w:val="es-ES"/>
        </w:rPr>
        <w:t>Subestacionales</w:t>
      </w:r>
      <w:proofErr w:type="spellEnd"/>
      <w:r>
        <w:rPr>
          <w:lang w:val="es-ES"/>
        </w:rPr>
        <w:t xml:space="preserve">, los Centros Mundiales de Producción de Predicciones a Largo Plazo y los Centros Regionales sobre el Clima (CRC) designados oficialmente, así como los Servicios Meteorológicos e Hidrológicos Nacionales (SMHN) y las instituciones que coordinan Foros Regionales sobre la Evolución Probable del Clima (FREPC), tendrán derecho a acceder mediante contraseña a la información mantenida y producida por el Centro o Centros Principales de Predicción </w:t>
      </w:r>
      <w:proofErr w:type="spellStart"/>
      <w:r>
        <w:rPr>
          <w:lang w:val="es-ES"/>
        </w:rPr>
        <w:t>Subestacional</w:t>
      </w:r>
      <w:proofErr w:type="spellEnd"/>
      <w:r>
        <w:rPr>
          <w:lang w:val="es-ES"/>
        </w:rPr>
        <w:t xml:space="preserve"> mediante Conjuntos Multimodelos. Las entidades que estén en fase de demostración para su designación como Centro Mundial de Producción o CRC también tendrán derecho a acceder mediante contraseña a la información mantenida y producida por el Centro o Centros Principales de Predicción </w:t>
      </w:r>
      <w:proofErr w:type="spellStart"/>
      <w:r>
        <w:rPr>
          <w:lang w:val="es-ES"/>
        </w:rPr>
        <w:t>Subestacional</w:t>
      </w:r>
      <w:proofErr w:type="spellEnd"/>
      <w:r>
        <w:rPr>
          <w:lang w:val="es-ES"/>
        </w:rPr>
        <w:t xml:space="preserve"> mediante Conjuntos Multimodelos, siempre que el Secretario General de la Organización Meteorológica Mundial (OMM) haya emitido una notificación oficial a ese respecto.</w:t>
      </w:r>
      <w:bookmarkStart w:id="30" w:name="_p_f8c1f7485e7a470eb7175940bdfe40ce"/>
      <w:bookmarkEnd w:id="30"/>
    </w:p>
    <w:p w14:paraId="04A16590" w14:textId="77777777" w:rsidR="00425727" w:rsidRDefault="00425727" w:rsidP="00425727">
      <w:pPr>
        <w:pStyle w:val="Indent1"/>
        <w:rPr>
          <w:lang w:val="es-ES"/>
        </w:rPr>
      </w:pPr>
      <w:r>
        <w:rPr>
          <w:lang w:val="es-ES"/>
        </w:rPr>
        <w:t>d)</w:t>
      </w:r>
      <w:r>
        <w:rPr>
          <w:lang w:val="es-ES"/>
        </w:rPr>
        <w:tab/>
        <w:t xml:space="preserve">Las instituciones que no figuran entre las mencionadas en el punto c), pero que les aportan contribuciones, también podrán solicitar acceso a los productos del Centro o Centros Principales de Predicción </w:t>
      </w:r>
      <w:proofErr w:type="spellStart"/>
      <w:r>
        <w:rPr>
          <w:lang w:val="es-ES"/>
        </w:rPr>
        <w:t>Subestacional</w:t>
      </w:r>
      <w:proofErr w:type="spellEnd"/>
      <w:r>
        <w:rPr>
          <w:lang w:val="es-ES"/>
        </w:rPr>
        <w:t xml:space="preserve"> mediante Conjuntos Multimodelos. Esas instituciones, denominadas “instituciones de apoyo”, incluidos los centros de investigación, requieren cartas de aval: i) del Representante Permanente del país en que están radicadas, y </w:t>
      </w:r>
      <w:proofErr w:type="spellStart"/>
      <w:r>
        <w:rPr>
          <w:lang w:val="es-ES"/>
        </w:rPr>
        <w:t>ii</w:t>
      </w:r>
      <w:proofErr w:type="spellEnd"/>
      <w:r>
        <w:rPr>
          <w:lang w:val="es-ES"/>
        </w:rPr>
        <w:t xml:space="preserve">) del director ejecutivo de la entidad a la que desean realizar contribuciones (es decir, CRC, instituciones coordinadoras de FREPC y SMHN). Las instituciones de apoyo solo pueden utilizar productos del Centro o Centros Principales de Predicción </w:t>
      </w:r>
      <w:proofErr w:type="spellStart"/>
      <w:r>
        <w:rPr>
          <w:lang w:val="es-ES"/>
        </w:rPr>
        <w:t>Subestacional</w:t>
      </w:r>
      <w:proofErr w:type="spellEnd"/>
      <w:r>
        <w:rPr>
          <w:lang w:val="es-ES"/>
        </w:rPr>
        <w:t xml:space="preserve"> mediante Conjuntos Multimodelos para ayudar a las organizaciones enumeradas en el punto c) en la elaboración de productos oficiales de predicción. Las instituciones de apoyo no podrán utilizar productos de un Centro Principal para generar ni exhibir o difundir productos independientes de predicción. Las instituciones de apoyo deben aceptar estas restricciones para estar en condiciones de </w:t>
      </w:r>
      <w:r>
        <w:rPr>
          <w:lang w:val="es-ES"/>
        </w:rPr>
        <w:lastRenderedPageBreak/>
        <w:t>recibir acceso a los productos. Antes de que se autorice el acceso a una institución de apoyo que lo solicita, el Centro o Centros Principales de Predicción a Largo Plazo mediante Conjuntos Multimodelos trasladarán la solicitud al Equipo de Expertos sobre Sistemas de Predicción Climática Operativa (ET-OCPS) de la INFCOM por conducto de la Secretaría de la OMM para la consulta y el examen finales. Las decisiones de autorización de acceso deberán ser unánimes. La Secretaría de la OMM informará al Centro o Centros Principales de los nuevos usuarios cuyo acceso haya sido autorizado.</w:t>
      </w:r>
      <w:bookmarkStart w:id="31" w:name="_p_66d41b3d6fee4ba48ad48ec76252a762"/>
      <w:bookmarkEnd w:id="31"/>
    </w:p>
    <w:p w14:paraId="3EC1FA5D" w14:textId="77777777" w:rsidR="00425727" w:rsidRDefault="00425727" w:rsidP="00425727">
      <w:pPr>
        <w:pStyle w:val="Indent1"/>
        <w:rPr>
          <w:lang w:val="es-ES"/>
        </w:rPr>
      </w:pPr>
      <w:r>
        <w:rPr>
          <w:lang w:val="es-ES"/>
        </w:rPr>
        <w:t>e)</w:t>
      </w:r>
      <w:r>
        <w:rPr>
          <w:lang w:val="es-ES"/>
        </w:rPr>
        <w:tab/>
        <w:t xml:space="preserve">El Centro o Centros Principales de Predicción </w:t>
      </w:r>
      <w:proofErr w:type="spellStart"/>
      <w:r>
        <w:rPr>
          <w:lang w:val="es-ES"/>
        </w:rPr>
        <w:t>Subestacional</w:t>
      </w:r>
      <w:proofErr w:type="spellEnd"/>
      <w:r>
        <w:rPr>
          <w:lang w:val="es-ES"/>
        </w:rPr>
        <w:t xml:space="preserve"> mediante Conjuntos Multimodelos mantendrán una lista de los usuarios que dispongan de acceso mediante contraseña, que será revisada periódicamente por el ET-OCPS para evaluar la utilización efectiva y para determinar los cambios de estatus de los usuarios autorizados y la necesidad de seguimiento adicional.</w:t>
      </w:r>
      <w:bookmarkStart w:id="32" w:name="_p_22f89f7e7e1745828f4e6688534fee2b"/>
      <w:bookmarkEnd w:id="32"/>
    </w:p>
    <w:p w14:paraId="32AE8C57" w14:textId="77777777" w:rsidR="00425727" w:rsidRDefault="00425727" w:rsidP="00425727">
      <w:pPr>
        <w:pStyle w:val="THEEND"/>
        <w:rPr>
          <w:rFonts w:eastAsia="Arial"/>
          <w:lang w:val="es-ES"/>
        </w:rPr>
      </w:pPr>
    </w:p>
    <w:p w14:paraId="7E8C54E3" w14:textId="77777777" w:rsidR="00425727" w:rsidRDefault="00425727" w:rsidP="00425727">
      <w:pPr>
        <w:pStyle w:val="TPSSection"/>
        <w:rPr>
          <w:lang w:val="es-ES"/>
        </w:rPr>
      </w:pPr>
      <w:r>
        <w:rPr>
          <w:lang w:val="es-ES"/>
        </w:rPr>
        <w:fldChar w:fldCharType="begin"/>
      </w:r>
      <w:r>
        <w:rPr>
          <w:lang w:val="es-ES"/>
        </w:rPr>
        <w:instrText xml:space="preserve"> MACROBUTTON TPS_Section SECTION: Chapter</w:instrText>
      </w:r>
      <w:r>
        <w:rPr>
          <w:vanish/>
          <w:lang w:val="es-ES"/>
        </w:rPr>
        <w:fldChar w:fldCharType="begin"/>
      </w:r>
      <w:r>
        <w:rPr>
          <w:vanish/>
          <w:lang w:val="es-ES"/>
        </w:rPr>
        <w:instrText>Name="Chapter" ID="F4E67C21-9DDD-A741-B023-838405DEB208"</w:instrText>
      </w:r>
      <w:r>
        <w:rPr>
          <w:vanish/>
          <w:lang w:val="es-ES"/>
        </w:rPr>
        <w:fldChar w:fldCharType="end"/>
      </w:r>
      <w:r>
        <w:rPr>
          <w:lang w:val="es-ES"/>
        </w:rPr>
        <w:fldChar w:fldCharType="end"/>
      </w:r>
    </w:p>
    <w:p w14:paraId="68A1958D" w14:textId="77777777" w:rsidR="00425727" w:rsidRDefault="00425727" w:rsidP="00425727">
      <w:pPr>
        <w:pStyle w:val="TPSSectionData"/>
        <w:rPr>
          <w:lang w:val="es-ES"/>
        </w:rPr>
      </w:pPr>
      <w:r>
        <w:rPr>
          <w:lang w:val="es-ES"/>
        </w:rPr>
        <w:fldChar w:fldCharType="begin"/>
      </w:r>
      <w:r>
        <w:rPr>
          <w:lang w:val="es-ES"/>
        </w:rPr>
        <w:instrText xml:space="preserve"> MACROBUTTON TPS_SectionField Chapter title in running head: PARTE III. CENTROS ACTUALES DESIGNADOS …</w:instrText>
      </w:r>
      <w:r>
        <w:rPr>
          <w:vanish/>
          <w:lang w:val="es-ES"/>
        </w:rPr>
        <w:fldChar w:fldCharType="begin"/>
      </w:r>
      <w:r>
        <w:rPr>
          <w:vanish/>
          <w:lang w:val="es-ES"/>
        </w:rPr>
        <w:instrText>Name="Chapter title in running head" Value="PARTE III. CENTROS ACTUALES DESIGNADOS DEL SISTEMA MUNDIAL DE PROCESO DE DATOS Y DE PREDICCIÓN DE LA ORGANIZACIÓN METEOROLÓGICA MUNDIAL"</w:instrText>
      </w:r>
      <w:r>
        <w:rPr>
          <w:vanish/>
          <w:lang w:val="es-ES"/>
        </w:rPr>
        <w:fldChar w:fldCharType="end"/>
      </w:r>
      <w:r>
        <w:rPr>
          <w:lang w:val="es-ES"/>
        </w:rPr>
        <w:fldChar w:fldCharType="end"/>
      </w:r>
    </w:p>
    <w:p w14:paraId="19F343A0" w14:textId="77777777" w:rsidR="00425727" w:rsidRDefault="00425727" w:rsidP="00425727">
      <w:pPr>
        <w:pStyle w:val="Chapterhead"/>
        <w:rPr>
          <w:lang w:val="es-ES"/>
        </w:rPr>
      </w:pPr>
      <w:r>
        <w:rPr>
          <w:lang w:val="es-ES"/>
        </w:rPr>
        <w:t>PARTE III. CENTROS ACTUALES DESIGNADOS DEL SISTEMA MUNDIAL DE PROCESO DE DATOS Y DE PREDICCIÓN DE LA ORGANIZACIÓN METEOROLÓGICA MUNDIAL</w:t>
      </w:r>
      <w:bookmarkStart w:id="33" w:name="_p_f9ba510306e5426cbc3b7768943b5d05"/>
      <w:bookmarkEnd w:id="33"/>
    </w:p>
    <w:p w14:paraId="54132FF1" w14:textId="77777777" w:rsidR="00425727" w:rsidRPr="009F7B54" w:rsidRDefault="00425727" w:rsidP="00425727">
      <w:pPr>
        <w:pStyle w:val="Heading2NOToC"/>
        <w:rPr>
          <w:rFonts w:ascii="Verdana" w:hAnsi="Verdana"/>
          <w:sz w:val="20"/>
          <w:szCs w:val="20"/>
          <w:lang w:val="es-ES"/>
        </w:rPr>
      </w:pPr>
      <w:r w:rsidRPr="009F7B54">
        <w:rPr>
          <w:rFonts w:ascii="Verdana" w:hAnsi="Verdana"/>
          <w:sz w:val="20"/>
          <w:szCs w:val="20"/>
          <w:lang w:val="es-ES"/>
        </w:rPr>
        <w:t>3.</w:t>
      </w:r>
      <w:r w:rsidRPr="009F7B54">
        <w:rPr>
          <w:rFonts w:ascii="Verdana" w:hAnsi="Verdana"/>
          <w:sz w:val="20"/>
          <w:szCs w:val="20"/>
          <w:lang w:val="es-ES"/>
        </w:rPr>
        <w:tab/>
        <w:t>Los Centros Meteorológicos Regionales Especializados para actividades de</w:t>
      </w:r>
      <w:r w:rsidRPr="009F7B54">
        <w:rPr>
          <w:rStyle w:val="Spacenon-breaking"/>
          <w:rFonts w:ascii="Verdana" w:hAnsi="Verdana"/>
          <w:sz w:val="20"/>
          <w:szCs w:val="20"/>
          <w:lang w:val="es-ES"/>
        </w:rPr>
        <w:t xml:space="preserve"> </w:t>
      </w:r>
      <w:r w:rsidRPr="009F7B54">
        <w:rPr>
          <w:rFonts w:ascii="Verdana" w:hAnsi="Verdana"/>
          <w:sz w:val="20"/>
          <w:szCs w:val="20"/>
          <w:lang w:val="es-ES"/>
        </w:rPr>
        <w:t>carácter general son los siguientes:</w:t>
      </w:r>
    </w:p>
    <w:p w14:paraId="3FE58263" w14:textId="77777777" w:rsidR="00425727" w:rsidRPr="009F7B54" w:rsidRDefault="00425727" w:rsidP="00425727">
      <w:pPr>
        <w:pStyle w:val="Bodytext1"/>
        <w:spacing w:before="120"/>
        <w:rPr>
          <w:rFonts w:ascii="Verdana" w:eastAsiaTheme="minorHAnsi" w:hAnsi="Verdana" w:cstheme="minorBidi"/>
          <w:lang w:val="es-ES" w:eastAsia="en-US"/>
        </w:rPr>
      </w:pPr>
      <w:r w:rsidRPr="009F7B54">
        <w:rPr>
          <w:rFonts w:ascii="Verdana" w:hAnsi="Verdana"/>
          <w:lang w:val="es-ES"/>
        </w:rPr>
        <w:t>Predicción numérica del tiempo por conjuntos de área limitada:</w:t>
      </w:r>
    </w:p>
    <w:p w14:paraId="62C7ECCD" w14:textId="77777777" w:rsidR="00425727" w:rsidRDefault="00425727" w:rsidP="00425727">
      <w:pPr>
        <w:pStyle w:val="Indent1NOspaceafter"/>
        <w:rPr>
          <w:lang w:val="es-ES"/>
        </w:rPr>
      </w:pPr>
      <w:r>
        <w:rPr>
          <w:lang w:val="es-ES"/>
        </w:rPr>
        <w:tab/>
        <w:t>CMRE de Offenbach</w:t>
      </w:r>
    </w:p>
    <w:p w14:paraId="2AD45056" w14:textId="600360F4" w:rsidR="00425727" w:rsidRDefault="00425727" w:rsidP="00425727">
      <w:pPr>
        <w:pStyle w:val="Indent1"/>
        <w:rPr>
          <w:lang w:val="es-ES"/>
        </w:rPr>
      </w:pPr>
      <w:r>
        <w:rPr>
          <w:lang w:val="es-ES"/>
        </w:rPr>
        <w:tab/>
        <w:t>CMRE de Roma</w:t>
      </w:r>
    </w:p>
    <w:p w14:paraId="7CAB5903" w14:textId="476B8471" w:rsidR="006318B4" w:rsidRDefault="006318B4" w:rsidP="00425727">
      <w:pPr>
        <w:pStyle w:val="Indent1"/>
        <w:rPr>
          <w:color w:val="008000"/>
          <w:u w:val="dash"/>
          <w:lang w:val="es-ES"/>
        </w:rPr>
      </w:pPr>
      <w:r w:rsidRPr="006318B4">
        <w:rPr>
          <w:color w:val="008000"/>
          <w:u w:val="dash"/>
          <w:lang w:val="es-ES"/>
        </w:rPr>
        <w:t xml:space="preserve">Predicción </w:t>
      </w:r>
      <w:r w:rsidR="00ED08DB">
        <w:rPr>
          <w:color w:val="008000"/>
          <w:u w:val="dash"/>
          <w:lang w:val="es-ES"/>
        </w:rPr>
        <w:t>numérica subestacional a escala mundial:</w:t>
      </w:r>
    </w:p>
    <w:p w14:paraId="02C4B387" w14:textId="2348D06F" w:rsidR="00ED08DB" w:rsidRPr="006318B4" w:rsidRDefault="00ED08DB" w:rsidP="00425727">
      <w:pPr>
        <w:pStyle w:val="Indent1"/>
        <w:rPr>
          <w:color w:val="008000"/>
          <w:u w:val="dash"/>
          <w:lang w:val="es-ES"/>
        </w:rPr>
      </w:pPr>
      <w:r>
        <w:rPr>
          <w:color w:val="008000"/>
          <w:u w:val="dash"/>
          <w:lang w:val="es-ES"/>
        </w:rPr>
        <w:tab/>
        <w:t>CMP del ECMWF</w:t>
      </w:r>
    </w:p>
    <w:p w14:paraId="2E1AC13E" w14:textId="77777777" w:rsidR="00425727" w:rsidRDefault="00425727" w:rsidP="00425727">
      <w:pPr>
        <w:pStyle w:val="Keepnextbodytext"/>
        <w:spacing w:after="0" w:line="240" w:lineRule="auto"/>
        <w:rPr>
          <w:rFonts w:ascii="Verdana" w:hAnsi="Verdana" w:cstheme="majorBidi"/>
          <w:color w:val="000000" w:themeColor="text1"/>
          <w:sz w:val="20"/>
          <w:szCs w:val="20"/>
          <w:lang w:val="es-ES" w:eastAsia="zh-TW"/>
        </w:rPr>
      </w:pPr>
      <w:r>
        <w:rPr>
          <w:rFonts w:ascii="Verdana" w:hAnsi="Verdana" w:cstheme="majorBidi"/>
          <w:color w:val="000000" w:themeColor="text1"/>
          <w:sz w:val="20"/>
          <w:szCs w:val="20"/>
          <w:lang w:val="es-ES" w:eastAsia="zh-TW"/>
        </w:rPr>
        <w:t>Predicción numérica a largo plazo a escala mundial:</w:t>
      </w:r>
    </w:p>
    <w:p w14:paraId="537444BC" w14:textId="77777777" w:rsidR="00425727" w:rsidRDefault="00425727" w:rsidP="00425727">
      <w:pPr>
        <w:pStyle w:val="TPSTable"/>
      </w:pPr>
      <w:r>
        <w:fldChar w:fldCharType="begin"/>
      </w:r>
      <w:r>
        <w:instrText xml:space="preserve"> MACROBUTTON TPS_Table TABLE: Table as text NO space</w:instrText>
      </w:r>
      <w:r>
        <w:rPr>
          <w:vanish/>
        </w:rPr>
        <w:fldChar w:fldCharType="begin"/>
      </w:r>
      <w:r>
        <w:rPr>
          <w:vanish/>
        </w:rPr>
        <w:instrText>Name="Table as text NO space" Columns="2" HeaderRows="0" BodyRows="5" FooterRows="0" KeepTableWidth="True" KeepWidths="True" KeepHAlign="True" KeepVAlign="True"</w:instrText>
      </w:r>
      <w:r>
        <w:rPr>
          <w:vanish/>
        </w:rPr>
        <w:fldChar w:fldCharType="end"/>
      </w:r>
      <w:r>
        <w:fldChar w:fldCharType="end"/>
      </w:r>
    </w:p>
    <w:tbl>
      <w:tblPr>
        <w:tblW w:w="4450" w:type="pct"/>
        <w:tblInd w:w="1120" w:type="dxa"/>
        <w:tblLook w:val="04A0" w:firstRow="1" w:lastRow="0" w:firstColumn="1" w:lastColumn="0" w:noHBand="0" w:noVBand="1"/>
      </w:tblPr>
      <w:tblGrid>
        <w:gridCol w:w="3971"/>
        <w:gridCol w:w="4608"/>
      </w:tblGrid>
      <w:tr w:rsidR="00425727" w:rsidRPr="00792E38" w14:paraId="442C86E4" w14:textId="77777777" w:rsidTr="00425727">
        <w:tc>
          <w:tcPr>
            <w:tcW w:w="3980" w:type="dxa"/>
            <w:hideMark/>
          </w:tcPr>
          <w:p w14:paraId="2E7DB8A4" w14:textId="77777777" w:rsidR="00425727" w:rsidRDefault="00425727">
            <w:pPr>
              <w:pStyle w:val="TableastextNOspace"/>
              <w:rPr>
                <w:lang w:val="es-ES"/>
              </w:rPr>
            </w:pPr>
            <w:r>
              <w:rPr>
                <w:lang w:val="es-ES"/>
              </w:rPr>
              <w:t>CMP de Beijing</w:t>
            </w:r>
          </w:p>
          <w:p w14:paraId="282124FA" w14:textId="77777777" w:rsidR="00425727" w:rsidRDefault="00425727">
            <w:pPr>
              <w:pStyle w:val="TableastextNOspace"/>
              <w:rPr>
                <w:lang w:val="es-ES"/>
              </w:rPr>
            </w:pPr>
            <w:r>
              <w:rPr>
                <w:lang w:val="es-ES"/>
              </w:rPr>
              <w:t>CMP del CMCC (Italia)</w:t>
            </w:r>
          </w:p>
        </w:tc>
        <w:tc>
          <w:tcPr>
            <w:tcW w:w="4619" w:type="dxa"/>
            <w:hideMark/>
          </w:tcPr>
          <w:p w14:paraId="1A94438B" w14:textId="3EC9C1C1" w:rsidR="00425727" w:rsidRDefault="00EF7CA2">
            <w:pPr>
              <w:pStyle w:val="TableastextNOspace"/>
              <w:rPr>
                <w:lang w:val="fr-CH"/>
              </w:rPr>
            </w:pPr>
            <w:r>
              <w:rPr>
                <w:lang w:val="fr-CH"/>
              </w:rPr>
              <w:t>CMP de Offenbach</w:t>
            </w:r>
          </w:p>
          <w:p w14:paraId="44EFF23A" w14:textId="23BAC42F" w:rsidR="00425727" w:rsidRDefault="00425727">
            <w:pPr>
              <w:pStyle w:val="TableastextNOspace"/>
              <w:rPr>
                <w:lang w:val="fr-CH"/>
              </w:rPr>
            </w:pPr>
            <w:r>
              <w:rPr>
                <w:lang w:val="fr-CH"/>
              </w:rPr>
              <w:t xml:space="preserve">CMP de </w:t>
            </w:r>
            <w:r w:rsidR="00EF7CA2">
              <w:rPr>
                <w:lang w:val="fr-CH"/>
              </w:rPr>
              <w:t>Pretoria</w:t>
            </w:r>
          </w:p>
        </w:tc>
      </w:tr>
      <w:tr w:rsidR="00425727" w14:paraId="45F7BCE4" w14:textId="77777777" w:rsidTr="00425727">
        <w:tc>
          <w:tcPr>
            <w:tcW w:w="3980" w:type="dxa"/>
            <w:hideMark/>
          </w:tcPr>
          <w:p w14:paraId="7B3FC146" w14:textId="77777777" w:rsidR="00425727" w:rsidRDefault="00425727">
            <w:pPr>
              <w:pStyle w:val="TableastextNOspace"/>
              <w:rPr>
                <w:lang w:val="en-US"/>
              </w:rPr>
            </w:pPr>
            <w:r>
              <w:rPr>
                <w:lang w:val="en-US"/>
              </w:rPr>
              <w:t>CMP de CPTEC (</w:t>
            </w:r>
            <w:proofErr w:type="spellStart"/>
            <w:r>
              <w:rPr>
                <w:lang w:val="en-US"/>
              </w:rPr>
              <w:t>Brasil</w:t>
            </w:r>
            <w:proofErr w:type="spellEnd"/>
            <w:r>
              <w:rPr>
                <w:lang w:val="en-US"/>
              </w:rPr>
              <w:t>)</w:t>
            </w:r>
          </w:p>
        </w:tc>
        <w:tc>
          <w:tcPr>
            <w:tcW w:w="4619" w:type="dxa"/>
            <w:hideMark/>
          </w:tcPr>
          <w:p w14:paraId="57E6A293" w14:textId="7216BCEA" w:rsidR="00425727" w:rsidRPr="003A3258" w:rsidRDefault="00425727">
            <w:pPr>
              <w:pStyle w:val="TableastextNOspace"/>
              <w:rPr>
                <w:u w:val="dash"/>
                <w:lang w:val="en-US"/>
              </w:rPr>
            </w:pPr>
            <w:r w:rsidRPr="003A3258">
              <w:rPr>
                <w:color w:val="008000"/>
                <w:u w:val="dash"/>
                <w:lang w:val="en-US"/>
              </w:rPr>
              <w:t>CMP de P</w:t>
            </w:r>
            <w:r w:rsidR="003A3258" w:rsidRPr="003A3258">
              <w:rPr>
                <w:color w:val="008000"/>
                <w:u w:val="dash"/>
                <w:lang w:val="en-US"/>
              </w:rPr>
              <w:t>une</w:t>
            </w:r>
          </w:p>
        </w:tc>
      </w:tr>
      <w:tr w:rsidR="00CC5AD5" w14:paraId="328EF4F9" w14:textId="77777777" w:rsidTr="00425727">
        <w:tc>
          <w:tcPr>
            <w:tcW w:w="3980" w:type="dxa"/>
          </w:tcPr>
          <w:p w14:paraId="7063761C" w14:textId="57616CC3" w:rsidR="00CC5AD5" w:rsidRDefault="00CC5AD5">
            <w:pPr>
              <w:pStyle w:val="TableastextNOspace"/>
              <w:rPr>
                <w:lang w:val="en-US"/>
              </w:rPr>
            </w:pPr>
            <w:r>
              <w:rPr>
                <w:lang w:val="en-US"/>
              </w:rPr>
              <w:t>CMP del ECMWF</w:t>
            </w:r>
          </w:p>
        </w:tc>
        <w:tc>
          <w:tcPr>
            <w:tcW w:w="4619" w:type="dxa"/>
          </w:tcPr>
          <w:p w14:paraId="32B706DC" w14:textId="3B3D5BFF" w:rsidR="00CC5AD5" w:rsidRDefault="003A3258">
            <w:pPr>
              <w:pStyle w:val="TableastextNOspace"/>
              <w:rPr>
                <w:lang w:val="en-US"/>
              </w:rPr>
            </w:pPr>
            <w:r>
              <w:rPr>
                <w:lang w:val="en-US"/>
              </w:rPr>
              <w:t xml:space="preserve">CMP de </w:t>
            </w:r>
            <w:proofErr w:type="spellStart"/>
            <w:r>
              <w:rPr>
                <w:lang w:val="en-US"/>
              </w:rPr>
              <w:t>Seúl</w:t>
            </w:r>
            <w:proofErr w:type="spellEnd"/>
          </w:p>
        </w:tc>
      </w:tr>
      <w:tr w:rsidR="00425727" w14:paraId="42F53846" w14:textId="77777777" w:rsidTr="00425727">
        <w:tc>
          <w:tcPr>
            <w:tcW w:w="3980" w:type="dxa"/>
            <w:hideMark/>
          </w:tcPr>
          <w:p w14:paraId="4C16485A" w14:textId="354FE32D" w:rsidR="00425727" w:rsidRDefault="00CC5AD5">
            <w:pPr>
              <w:pStyle w:val="TableastextNOspace"/>
              <w:rPr>
                <w:lang w:val="en-US"/>
              </w:rPr>
            </w:pPr>
            <w:r>
              <w:rPr>
                <w:lang w:val="en-US"/>
              </w:rPr>
              <w:t>CMP de Exeter</w:t>
            </w:r>
          </w:p>
        </w:tc>
        <w:tc>
          <w:tcPr>
            <w:tcW w:w="4619" w:type="dxa"/>
            <w:hideMark/>
          </w:tcPr>
          <w:p w14:paraId="0DE27027" w14:textId="75408954" w:rsidR="00425727" w:rsidRDefault="00425727">
            <w:pPr>
              <w:pStyle w:val="TableastextNOspace"/>
              <w:rPr>
                <w:lang w:val="en-US"/>
              </w:rPr>
            </w:pPr>
            <w:r>
              <w:rPr>
                <w:lang w:val="en-US"/>
              </w:rPr>
              <w:t xml:space="preserve">CMP de </w:t>
            </w:r>
            <w:proofErr w:type="spellStart"/>
            <w:r w:rsidR="003A3258">
              <w:rPr>
                <w:lang w:val="en-US"/>
              </w:rPr>
              <w:t>Tokio</w:t>
            </w:r>
            <w:proofErr w:type="spellEnd"/>
          </w:p>
        </w:tc>
      </w:tr>
      <w:tr w:rsidR="00425727" w14:paraId="0C2534B4" w14:textId="77777777" w:rsidTr="00425727">
        <w:tc>
          <w:tcPr>
            <w:tcW w:w="3980" w:type="dxa"/>
            <w:hideMark/>
          </w:tcPr>
          <w:p w14:paraId="547CA06F" w14:textId="54FF3F5F" w:rsidR="00425727" w:rsidRDefault="00CC5AD5">
            <w:pPr>
              <w:pStyle w:val="TableastextNOspace"/>
              <w:rPr>
                <w:lang w:val="en-US"/>
              </w:rPr>
            </w:pPr>
            <w:r>
              <w:rPr>
                <w:lang w:val="en-US"/>
              </w:rPr>
              <w:t>CMP de Melbourne</w:t>
            </w:r>
          </w:p>
        </w:tc>
        <w:tc>
          <w:tcPr>
            <w:tcW w:w="4619" w:type="dxa"/>
            <w:hideMark/>
          </w:tcPr>
          <w:p w14:paraId="4C239558" w14:textId="51C36594" w:rsidR="00425727" w:rsidRDefault="00425727">
            <w:pPr>
              <w:pStyle w:val="TableastextNOspace"/>
              <w:rPr>
                <w:lang w:val="en-US"/>
              </w:rPr>
            </w:pPr>
            <w:r>
              <w:rPr>
                <w:lang w:val="en-US"/>
              </w:rPr>
              <w:t xml:space="preserve">CMP de </w:t>
            </w:r>
            <w:r w:rsidR="003A3258">
              <w:rPr>
                <w:lang w:val="en-US"/>
              </w:rPr>
              <w:t>Toulouse</w:t>
            </w:r>
          </w:p>
        </w:tc>
      </w:tr>
      <w:tr w:rsidR="00425727" w14:paraId="4C4F2468" w14:textId="77777777" w:rsidTr="00425727">
        <w:tc>
          <w:tcPr>
            <w:tcW w:w="3980" w:type="dxa"/>
            <w:hideMark/>
          </w:tcPr>
          <w:p w14:paraId="0A6387CE" w14:textId="085220A6" w:rsidR="00425727" w:rsidRDefault="00CC5AD5">
            <w:pPr>
              <w:pStyle w:val="TableastextNOspace"/>
              <w:rPr>
                <w:lang w:val="en-US"/>
              </w:rPr>
            </w:pPr>
            <w:r>
              <w:rPr>
                <w:lang w:val="en-US"/>
              </w:rPr>
              <w:t>CMP de Montreal</w:t>
            </w:r>
          </w:p>
        </w:tc>
        <w:tc>
          <w:tcPr>
            <w:tcW w:w="4619" w:type="dxa"/>
            <w:hideMark/>
          </w:tcPr>
          <w:p w14:paraId="275D95F8" w14:textId="2E4CD581" w:rsidR="00425727" w:rsidRDefault="00425727">
            <w:pPr>
              <w:pStyle w:val="TableastextNOspace"/>
              <w:rPr>
                <w:lang w:val="en-US"/>
              </w:rPr>
            </w:pPr>
            <w:r>
              <w:rPr>
                <w:lang w:val="en-US"/>
              </w:rPr>
              <w:t xml:space="preserve">CMP de </w:t>
            </w:r>
            <w:r w:rsidR="003A3258">
              <w:rPr>
                <w:lang w:val="en-US"/>
              </w:rPr>
              <w:t>Washington</w:t>
            </w:r>
          </w:p>
        </w:tc>
      </w:tr>
      <w:tr w:rsidR="00425727" w14:paraId="367A7ADA" w14:textId="77777777" w:rsidTr="00425727">
        <w:tc>
          <w:tcPr>
            <w:tcW w:w="3980" w:type="dxa"/>
            <w:hideMark/>
          </w:tcPr>
          <w:p w14:paraId="13349768" w14:textId="4D47C6D3" w:rsidR="00425727" w:rsidRDefault="00CC5AD5">
            <w:pPr>
              <w:pStyle w:val="TableastextNOspace"/>
              <w:rPr>
                <w:lang w:val="en-US"/>
              </w:rPr>
            </w:pPr>
            <w:r>
              <w:rPr>
                <w:lang w:val="fr-CH"/>
              </w:rPr>
              <w:t xml:space="preserve">CMP de </w:t>
            </w:r>
            <w:proofErr w:type="spellStart"/>
            <w:r>
              <w:rPr>
                <w:lang w:val="fr-CH"/>
              </w:rPr>
              <w:t>Moscú</w:t>
            </w:r>
            <w:proofErr w:type="spellEnd"/>
          </w:p>
        </w:tc>
        <w:tc>
          <w:tcPr>
            <w:tcW w:w="4619" w:type="dxa"/>
            <w:hideMark/>
          </w:tcPr>
          <w:p w14:paraId="63A11A4A" w14:textId="54A786A3" w:rsidR="00425727" w:rsidRDefault="00425727">
            <w:pPr>
              <w:pStyle w:val="TableastextNOspace"/>
              <w:rPr>
                <w:lang w:val="en-US"/>
              </w:rPr>
            </w:pPr>
          </w:p>
        </w:tc>
      </w:tr>
    </w:tbl>
    <w:p w14:paraId="13C7BB3D" w14:textId="77777777" w:rsidR="00425727" w:rsidRDefault="00425727" w:rsidP="00425727">
      <w:pPr>
        <w:pStyle w:val="Note"/>
        <w:rPr>
          <w:lang w:val="es-ES"/>
        </w:rPr>
      </w:pPr>
      <w:r>
        <w:rPr>
          <w:lang w:val="es-ES"/>
        </w:rPr>
        <w:t xml:space="preserve">Siglas no definidas previamente: CMCC - Centro </w:t>
      </w:r>
      <w:proofErr w:type="spellStart"/>
      <w:r>
        <w:rPr>
          <w:lang w:val="es-ES"/>
        </w:rPr>
        <w:t>Euromediterráneo</w:t>
      </w:r>
      <w:proofErr w:type="spellEnd"/>
      <w:r>
        <w:rPr>
          <w:lang w:val="es-ES"/>
        </w:rPr>
        <w:t xml:space="preserve"> para el Cambio Climático; CPTEC – Centro de </w:t>
      </w:r>
      <w:proofErr w:type="spellStart"/>
      <w:r>
        <w:rPr>
          <w:lang w:val="es-ES"/>
        </w:rPr>
        <w:t>Previsão</w:t>
      </w:r>
      <w:proofErr w:type="spellEnd"/>
      <w:r>
        <w:rPr>
          <w:lang w:val="es-ES"/>
        </w:rPr>
        <w:t xml:space="preserve"> de Tempo e </w:t>
      </w:r>
      <w:proofErr w:type="spellStart"/>
      <w:r>
        <w:rPr>
          <w:lang w:val="es-ES"/>
        </w:rPr>
        <w:t>Estudos</w:t>
      </w:r>
      <w:proofErr w:type="spellEnd"/>
      <w:r>
        <w:rPr>
          <w:lang w:val="es-ES"/>
        </w:rPr>
        <w:t xml:space="preserve"> Climáticos</w:t>
      </w:r>
    </w:p>
    <w:p w14:paraId="5647AC22" w14:textId="77777777" w:rsidR="00675D61" w:rsidRDefault="00675D61" w:rsidP="00DF7F6E">
      <w:pPr>
        <w:pStyle w:val="Bodytext1"/>
        <w:ind w:left="1134" w:hanging="1134"/>
        <w:rPr>
          <w:rFonts w:ascii="Verdana" w:eastAsia="Arial" w:hAnsi="Verdana" w:cs="Arial"/>
          <w:b/>
          <w:bCs/>
          <w:color w:val="000000" w:themeColor="text1"/>
          <w:szCs w:val="22"/>
          <w:lang w:val="es-ES"/>
        </w:rPr>
      </w:pPr>
      <w:r>
        <w:rPr>
          <w:rFonts w:ascii="Verdana" w:eastAsia="Arial" w:hAnsi="Verdana" w:cs="Arial"/>
          <w:b/>
          <w:bCs/>
          <w:color w:val="000000" w:themeColor="text1"/>
          <w:szCs w:val="22"/>
          <w:lang w:val="es-ES"/>
        </w:rPr>
        <w:br w:type="page"/>
      </w:r>
    </w:p>
    <w:p w14:paraId="5C9ED4FE" w14:textId="2C79C357" w:rsidR="009814B0" w:rsidRDefault="00DF7F6E" w:rsidP="00DF7F6E">
      <w:pPr>
        <w:pStyle w:val="Bodytext1"/>
        <w:ind w:left="1134" w:hanging="1134"/>
        <w:rPr>
          <w:lang w:val="es-ES"/>
        </w:rPr>
      </w:pPr>
      <w:r w:rsidRPr="00DF7F6E">
        <w:rPr>
          <w:rFonts w:ascii="Verdana" w:eastAsia="Arial" w:hAnsi="Verdana" w:cs="Arial"/>
          <w:b/>
          <w:bCs/>
          <w:color w:val="000000" w:themeColor="text1"/>
          <w:szCs w:val="22"/>
          <w:lang w:val="es-ES"/>
        </w:rPr>
        <w:lastRenderedPageBreak/>
        <w:t>4.</w:t>
      </w:r>
      <w:r w:rsidRPr="00DF7F6E">
        <w:rPr>
          <w:rFonts w:ascii="Verdana" w:eastAsia="Arial" w:hAnsi="Verdana" w:cs="Arial"/>
          <w:b/>
          <w:bCs/>
          <w:color w:val="000000" w:themeColor="text1"/>
          <w:szCs w:val="22"/>
          <w:lang w:val="es-ES"/>
        </w:rPr>
        <w:tab/>
        <w:t>Los Centros Meteorológicos Regionales Especializados para actividades especializadas son los siguientes:</w:t>
      </w:r>
    </w:p>
    <w:p w14:paraId="02303B99" w14:textId="4B729E3D" w:rsidR="00BE007A" w:rsidRDefault="00BE007A" w:rsidP="00425727">
      <w:pPr>
        <w:pStyle w:val="Bodytext1"/>
        <w:rPr>
          <w:rFonts w:ascii="Verdana" w:hAnsi="Verdana"/>
          <w:color w:val="008000"/>
          <w:u w:val="dash"/>
          <w:lang w:val="es-ES"/>
        </w:rPr>
      </w:pPr>
      <w:r w:rsidRPr="00BE007A">
        <w:rPr>
          <w:rFonts w:ascii="Verdana" w:hAnsi="Verdana"/>
          <w:color w:val="008000"/>
          <w:u w:val="dash"/>
          <w:lang w:val="es-ES"/>
        </w:rPr>
        <w:t>Coordinación de</w:t>
      </w:r>
      <w:r>
        <w:rPr>
          <w:rFonts w:ascii="Verdana" w:hAnsi="Verdana"/>
          <w:color w:val="008000"/>
          <w:u w:val="dash"/>
          <w:lang w:val="es-ES"/>
        </w:rPr>
        <w:t xml:space="preserve"> los conjuntos </w:t>
      </w:r>
      <w:proofErr w:type="spellStart"/>
      <w:r>
        <w:rPr>
          <w:rFonts w:ascii="Verdana" w:hAnsi="Verdana"/>
          <w:color w:val="008000"/>
          <w:u w:val="dash"/>
          <w:lang w:val="es-ES"/>
        </w:rPr>
        <w:t>multimodelos</w:t>
      </w:r>
      <w:proofErr w:type="spellEnd"/>
      <w:r>
        <w:rPr>
          <w:rFonts w:ascii="Verdana" w:hAnsi="Verdana"/>
          <w:color w:val="008000"/>
          <w:u w:val="dash"/>
          <w:lang w:val="es-ES"/>
        </w:rPr>
        <w:t xml:space="preserve"> para las predicciones </w:t>
      </w:r>
      <w:proofErr w:type="spellStart"/>
      <w:r>
        <w:rPr>
          <w:rFonts w:ascii="Verdana" w:hAnsi="Verdana"/>
          <w:color w:val="008000"/>
          <w:u w:val="dash"/>
          <w:lang w:val="es-ES"/>
        </w:rPr>
        <w:t>subestacionales</w:t>
      </w:r>
      <w:proofErr w:type="spellEnd"/>
      <w:r>
        <w:rPr>
          <w:rFonts w:ascii="Verdana" w:hAnsi="Verdana"/>
          <w:color w:val="008000"/>
          <w:u w:val="dash"/>
          <w:lang w:val="es-ES"/>
        </w:rPr>
        <w:t>:</w:t>
      </w:r>
    </w:p>
    <w:p w14:paraId="072D625B" w14:textId="1A98207F" w:rsidR="00BE007A" w:rsidRPr="00BE007A" w:rsidRDefault="003B354D" w:rsidP="00425727">
      <w:pPr>
        <w:pStyle w:val="Bodytext1"/>
        <w:rPr>
          <w:color w:val="008000"/>
          <w:u w:val="dash"/>
          <w:lang w:val="es-ES"/>
        </w:rPr>
      </w:pPr>
      <w:r>
        <w:rPr>
          <w:rFonts w:ascii="Verdana" w:hAnsi="Verdana"/>
          <w:color w:val="008000"/>
          <w:u w:val="dash"/>
          <w:lang w:val="es-ES"/>
        </w:rPr>
        <w:tab/>
        <w:t>ECMWF</w:t>
      </w:r>
    </w:p>
    <w:p w14:paraId="68C4358A" w14:textId="7A5AA31B" w:rsidR="00425727" w:rsidRPr="00BE007A" w:rsidRDefault="00425727" w:rsidP="00425727">
      <w:pPr>
        <w:pStyle w:val="Bodytext1"/>
        <w:rPr>
          <w:rFonts w:ascii="Verdana" w:eastAsiaTheme="minorHAnsi" w:hAnsi="Verdana" w:cstheme="minorBidi"/>
          <w:lang w:val="es-ES" w:eastAsia="en-US"/>
        </w:rPr>
      </w:pPr>
      <w:r w:rsidRPr="00BE007A">
        <w:rPr>
          <w:rFonts w:ascii="Verdana" w:hAnsi="Verdana"/>
          <w:lang w:val="es-ES"/>
        </w:rPr>
        <w:t xml:space="preserve">Coordinación de la predicción a largo plazo mediante conjuntos </w:t>
      </w:r>
      <w:proofErr w:type="spellStart"/>
      <w:r w:rsidRPr="00BE007A">
        <w:rPr>
          <w:rFonts w:ascii="Verdana" w:hAnsi="Verdana"/>
          <w:lang w:val="es-ES"/>
        </w:rPr>
        <w:t>multimodelos</w:t>
      </w:r>
      <w:proofErr w:type="spellEnd"/>
      <w:r w:rsidRPr="00BE007A">
        <w:rPr>
          <w:rFonts w:ascii="Verdana" w:hAnsi="Verdana"/>
          <w:lang w:val="es-ES"/>
        </w:rPr>
        <w:t>:</w:t>
      </w:r>
    </w:p>
    <w:p w14:paraId="4A46EE96" w14:textId="77777777" w:rsidR="00425727" w:rsidRPr="00BE007A" w:rsidRDefault="00425727" w:rsidP="00425727">
      <w:pPr>
        <w:pStyle w:val="Indent1"/>
        <w:rPr>
          <w:lang w:val="es-ES"/>
        </w:rPr>
      </w:pPr>
      <w:r w:rsidRPr="00BE007A">
        <w:rPr>
          <w:lang w:val="es-ES"/>
        </w:rPr>
        <w:t>–</w:t>
      </w:r>
      <w:r w:rsidRPr="00BE007A">
        <w:rPr>
          <w:lang w:val="es-ES"/>
        </w:rPr>
        <w:tab/>
        <w:t>Seúl y Washington (centro conjunto)</w:t>
      </w:r>
    </w:p>
    <w:p w14:paraId="1E3BC936" w14:textId="77777777" w:rsidR="00425727" w:rsidRPr="00BE007A" w:rsidRDefault="00425727" w:rsidP="00425727">
      <w:pPr>
        <w:pStyle w:val="Keepnextbodytext"/>
        <w:rPr>
          <w:rFonts w:ascii="Verdana" w:hAnsi="Verdana"/>
          <w:sz w:val="20"/>
          <w:szCs w:val="20"/>
          <w:lang w:val="es-ES"/>
        </w:rPr>
      </w:pPr>
      <w:r w:rsidRPr="00BE007A">
        <w:rPr>
          <w:rFonts w:ascii="Verdana" w:hAnsi="Verdana"/>
          <w:sz w:val="20"/>
          <w:szCs w:val="20"/>
          <w:lang w:val="es-ES"/>
        </w:rPr>
        <w:t>Coordinación de las predicciones climáticas anuales a decenales:</w:t>
      </w:r>
    </w:p>
    <w:p w14:paraId="76A2D27D" w14:textId="77777777" w:rsidR="00425727" w:rsidRPr="00BE007A" w:rsidRDefault="00425727" w:rsidP="00425727">
      <w:pPr>
        <w:pStyle w:val="Indent1"/>
        <w:rPr>
          <w:lang w:val="es-ES"/>
        </w:rPr>
      </w:pPr>
      <w:r w:rsidRPr="00BE007A">
        <w:rPr>
          <w:lang w:val="es-ES"/>
        </w:rPr>
        <w:t>–</w:t>
      </w:r>
      <w:r w:rsidRPr="00BE007A">
        <w:rPr>
          <w:lang w:val="es-ES"/>
        </w:rPr>
        <w:tab/>
        <w:t>Exeter</w:t>
      </w:r>
    </w:p>
    <w:p w14:paraId="4FCF7956" w14:textId="0C656522" w:rsidR="00581CFE" w:rsidRPr="00633FDB" w:rsidRDefault="00581CFE" w:rsidP="00581CFE">
      <w:pPr>
        <w:spacing w:before="480"/>
        <w:jc w:val="center"/>
        <w:rPr>
          <w:lang w:val="es-ES_tradnl"/>
        </w:rPr>
      </w:pPr>
      <w:r w:rsidRPr="00633FDB">
        <w:rPr>
          <w:lang w:val="es-ES_tradnl"/>
        </w:rPr>
        <w:t>___________</w:t>
      </w:r>
    </w:p>
    <w:sectPr w:rsidR="00581CFE" w:rsidRPr="00633FDB" w:rsidSect="0020095E">
      <w:headerReference w:type="default" r:id="rId16"/>
      <w:headerReference w:type="first" r:id="rId1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C2BF3" w14:textId="77777777" w:rsidR="004430CC" w:rsidRDefault="004430CC">
      <w:r>
        <w:separator/>
      </w:r>
    </w:p>
    <w:p w14:paraId="5E7ED70D" w14:textId="77777777" w:rsidR="004430CC" w:rsidRDefault="004430CC"/>
    <w:p w14:paraId="430CFC64" w14:textId="77777777" w:rsidR="004430CC" w:rsidRDefault="004430CC"/>
  </w:endnote>
  <w:endnote w:type="continuationSeparator" w:id="0">
    <w:p w14:paraId="56D2AA8A" w14:textId="77777777" w:rsidR="004430CC" w:rsidRDefault="004430CC">
      <w:r>
        <w:continuationSeparator/>
      </w:r>
    </w:p>
    <w:p w14:paraId="6AE559C8" w14:textId="77777777" w:rsidR="004430CC" w:rsidRDefault="004430CC"/>
    <w:p w14:paraId="7BB22BD6" w14:textId="77777777" w:rsidR="004430CC" w:rsidRDefault="00443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87B30" w14:textId="77777777" w:rsidR="004430CC" w:rsidRDefault="004430CC">
      <w:r>
        <w:separator/>
      </w:r>
    </w:p>
  </w:footnote>
  <w:footnote w:type="continuationSeparator" w:id="0">
    <w:p w14:paraId="257EC10F" w14:textId="77777777" w:rsidR="004430CC" w:rsidRDefault="004430CC">
      <w:r>
        <w:continuationSeparator/>
      </w:r>
    </w:p>
    <w:p w14:paraId="0AC11327" w14:textId="77777777" w:rsidR="004430CC" w:rsidRDefault="004430CC"/>
    <w:p w14:paraId="2C086336" w14:textId="77777777" w:rsidR="004430CC" w:rsidRDefault="00443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3031" w14:textId="0BFFDAD2" w:rsidR="003C5AB0" w:rsidRDefault="003C5AB0" w:rsidP="007A7971">
    <w:pPr>
      <w:pStyle w:val="Header"/>
    </w:pPr>
    <w:r>
      <w:t>EC-7</w:t>
    </w:r>
    <w:r w:rsidR="00581CFE">
      <w:t>6</w:t>
    </w:r>
    <w:r>
      <w:t xml:space="preserve">/Doc. </w:t>
    </w:r>
    <w:r w:rsidR="004430CC">
      <w:t>3.2(9)</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0BBF"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CC"/>
    <w:rsid w:val="00001E4F"/>
    <w:rsid w:val="000206A8"/>
    <w:rsid w:val="0003137A"/>
    <w:rsid w:val="00041171"/>
    <w:rsid w:val="00041727"/>
    <w:rsid w:val="0004226F"/>
    <w:rsid w:val="00050F8E"/>
    <w:rsid w:val="000573AD"/>
    <w:rsid w:val="00064F6B"/>
    <w:rsid w:val="00072F17"/>
    <w:rsid w:val="000806D8"/>
    <w:rsid w:val="00082C80"/>
    <w:rsid w:val="00083847"/>
    <w:rsid w:val="00083C36"/>
    <w:rsid w:val="00095E48"/>
    <w:rsid w:val="000A69BF"/>
    <w:rsid w:val="000C225A"/>
    <w:rsid w:val="000C6781"/>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07130"/>
    <w:rsid w:val="00210D30"/>
    <w:rsid w:val="002204FD"/>
    <w:rsid w:val="002308B5"/>
    <w:rsid w:val="00234A34"/>
    <w:rsid w:val="0024027B"/>
    <w:rsid w:val="0025255D"/>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424A"/>
    <w:rsid w:val="003245D3"/>
    <w:rsid w:val="00330AA3"/>
    <w:rsid w:val="00330F43"/>
    <w:rsid w:val="00334987"/>
    <w:rsid w:val="00342E34"/>
    <w:rsid w:val="00344F8D"/>
    <w:rsid w:val="00371CF1"/>
    <w:rsid w:val="003750C1"/>
    <w:rsid w:val="00380AF7"/>
    <w:rsid w:val="00383F53"/>
    <w:rsid w:val="00394A05"/>
    <w:rsid w:val="00397770"/>
    <w:rsid w:val="00397880"/>
    <w:rsid w:val="003A3258"/>
    <w:rsid w:val="003A3C12"/>
    <w:rsid w:val="003A7016"/>
    <w:rsid w:val="003B354D"/>
    <w:rsid w:val="003C17A5"/>
    <w:rsid w:val="003C5AB0"/>
    <w:rsid w:val="003D1552"/>
    <w:rsid w:val="003D5A17"/>
    <w:rsid w:val="003E4046"/>
    <w:rsid w:val="003F003A"/>
    <w:rsid w:val="003F125B"/>
    <w:rsid w:val="003F7B3F"/>
    <w:rsid w:val="00402F84"/>
    <w:rsid w:val="0041078D"/>
    <w:rsid w:val="00416F97"/>
    <w:rsid w:val="004239C6"/>
    <w:rsid w:val="00424711"/>
    <w:rsid w:val="00425727"/>
    <w:rsid w:val="0043039B"/>
    <w:rsid w:val="004423FE"/>
    <w:rsid w:val="004430CC"/>
    <w:rsid w:val="00445C35"/>
    <w:rsid w:val="00447D93"/>
    <w:rsid w:val="00455EB0"/>
    <w:rsid w:val="0045663A"/>
    <w:rsid w:val="0046344E"/>
    <w:rsid w:val="004667E7"/>
    <w:rsid w:val="00475797"/>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71AE1"/>
    <w:rsid w:val="00581CFE"/>
    <w:rsid w:val="00585ED5"/>
    <w:rsid w:val="00592267"/>
    <w:rsid w:val="0059421F"/>
    <w:rsid w:val="00596CF0"/>
    <w:rsid w:val="005A24CE"/>
    <w:rsid w:val="005B0AE2"/>
    <w:rsid w:val="005B1F2C"/>
    <w:rsid w:val="005B5F3C"/>
    <w:rsid w:val="005D03D9"/>
    <w:rsid w:val="005D1EE8"/>
    <w:rsid w:val="005D56AE"/>
    <w:rsid w:val="005D666D"/>
    <w:rsid w:val="005E3A59"/>
    <w:rsid w:val="005F24D7"/>
    <w:rsid w:val="00604802"/>
    <w:rsid w:val="00615AB0"/>
    <w:rsid w:val="0061778C"/>
    <w:rsid w:val="006318B4"/>
    <w:rsid w:val="00633FDB"/>
    <w:rsid w:val="00636B90"/>
    <w:rsid w:val="006449B2"/>
    <w:rsid w:val="0064738B"/>
    <w:rsid w:val="006508EA"/>
    <w:rsid w:val="00667E86"/>
    <w:rsid w:val="00675D61"/>
    <w:rsid w:val="0068392D"/>
    <w:rsid w:val="00697DB5"/>
    <w:rsid w:val="006A1B33"/>
    <w:rsid w:val="006A492A"/>
    <w:rsid w:val="006B5C72"/>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2178"/>
    <w:rsid w:val="007651B1"/>
    <w:rsid w:val="00771A68"/>
    <w:rsid w:val="007744D2"/>
    <w:rsid w:val="00786136"/>
    <w:rsid w:val="00787FF9"/>
    <w:rsid w:val="00792E38"/>
    <w:rsid w:val="007A7971"/>
    <w:rsid w:val="007C212A"/>
    <w:rsid w:val="007E7D21"/>
    <w:rsid w:val="007F482F"/>
    <w:rsid w:val="007F7226"/>
    <w:rsid w:val="007F7C94"/>
    <w:rsid w:val="0080398D"/>
    <w:rsid w:val="00806385"/>
    <w:rsid w:val="00807CC5"/>
    <w:rsid w:val="00814CC6"/>
    <w:rsid w:val="00831751"/>
    <w:rsid w:val="00833369"/>
    <w:rsid w:val="00835B42"/>
    <w:rsid w:val="00842A4E"/>
    <w:rsid w:val="008451AA"/>
    <w:rsid w:val="00847D99"/>
    <w:rsid w:val="0085038E"/>
    <w:rsid w:val="008536F5"/>
    <w:rsid w:val="008609D2"/>
    <w:rsid w:val="0086271D"/>
    <w:rsid w:val="0086420B"/>
    <w:rsid w:val="00864DBF"/>
    <w:rsid w:val="00865AE2"/>
    <w:rsid w:val="0089601F"/>
    <w:rsid w:val="008A7313"/>
    <w:rsid w:val="008A7D91"/>
    <w:rsid w:val="008B7FC7"/>
    <w:rsid w:val="008C4337"/>
    <w:rsid w:val="008C4F06"/>
    <w:rsid w:val="008E0D3A"/>
    <w:rsid w:val="008E1E4A"/>
    <w:rsid w:val="008F0615"/>
    <w:rsid w:val="008F103E"/>
    <w:rsid w:val="008F1FDB"/>
    <w:rsid w:val="008F36FB"/>
    <w:rsid w:val="009023C3"/>
    <w:rsid w:val="009025B9"/>
    <w:rsid w:val="0090427F"/>
    <w:rsid w:val="00920506"/>
    <w:rsid w:val="00931DEB"/>
    <w:rsid w:val="00933957"/>
    <w:rsid w:val="00950605"/>
    <w:rsid w:val="00952233"/>
    <w:rsid w:val="00954D66"/>
    <w:rsid w:val="009559E0"/>
    <w:rsid w:val="00961F69"/>
    <w:rsid w:val="00963F8F"/>
    <w:rsid w:val="00973C62"/>
    <w:rsid w:val="00973ED2"/>
    <w:rsid w:val="00975D76"/>
    <w:rsid w:val="009814B0"/>
    <w:rsid w:val="00982E51"/>
    <w:rsid w:val="0098371E"/>
    <w:rsid w:val="009874B9"/>
    <w:rsid w:val="00993581"/>
    <w:rsid w:val="009A288C"/>
    <w:rsid w:val="009A2EC3"/>
    <w:rsid w:val="009A64C1"/>
    <w:rsid w:val="009B6697"/>
    <w:rsid w:val="009C2EA4"/>
    <w:rsid w:val="009C4C04"/>
    <w:rsid w:val="009E2BBD"/>
    <w:rsid w:val="009F7566"/>
    <w:rsid w:val="009F7B54"/>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54DEB"/>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C6F2F"/>
    <w:rsid w:val="00BC76B5"/>
    <w:rsid w:val="00BD5420"/>
    <w:rsid w:val="00BE007A"/>
    <w:rsid w:val="00C04BD2"/>
    <w:rsid w:val="00C13EEC"/>
    <w:rsid w:val="00C14689"/>
    <w:rsid w:val="00C156A4"/>
    <w:rsid w:val="00C20FAA"/>
    <w:rsid w:val="00C2459D"/>
    <w:rsid w:val="00C316F1"/>
    <w:rsid w:val="00C375B6"/>
    <w:rsid w:val="00C42C95"/>
    <w:rsid w:val="00C4470F"/>
    <w:rsid w:val="00C55E5B"/>
    <w:rsid w:val="00C57D64"/>
    <w:rsid w:val="00C62739"/>
    <w:rsid w:val="00C720A4"/>
    <w:rsid w:val="00C7611C"/>
    <w:rsid w:val="00C94097"/>
    <w:rsid w:val="00C97BD7"/>
    <w:rsid w:val="00CA4269"/>
    <w:rsid w:val="00CA7330"/>
    <w:rsid w:val="00CB1C84"/>
    <w:rsid w:val="00CB64F0"/>
    <w:rsid w:val="00CC1A11"/>
    <w:rsid w:val="00CC2909"/>
    <w:rsid w:val="00CC5AD5"/>
    <w:rsid w:val="00CD0549"/>
    <w:rsid w:val="00CD536B"/>
    <w:rsid w:val="00CF40BF"/>
    <w:rsid w:val="00D05E6F"/>
    <w:rsid w:val="00D14624"/>
    <w:rsid w:val="00D159B2"/>
    <w:rsid w:val="00D24F2A"/>
    <w:rsid w:val="00D27929"/>
    <w:rsid w:val="00D33442"/>
    <w:rsid w:val="00D44BAD"/>
    <w:rsid w:val="00D45B55"/>
    <w:rsid w:val="00D47603"/>
    <w:rsid w:val="00D7097B"/>
    <w:rsid w:val="00D91DFA"/>
    <w:rsid w:val="00DA159A"/>
    <w:rsid w:val="00DA4CFF"/>
    <w:rsid w:val="00DB1AB2"/>
    <w:rsid w:val="00DC4FDF"/>
    <w:rsid w:val="00DC66F0"/>
    <w:rsid w:val="00DD1D95"/>
    <w:rsid w:val="00DD2F0E"/>
    <w:rsid w:val="00DD3A65"/>
    <w:rsid w:val="00DD62C6"/>
    <w:rsid w:val="00DE7137"/>
    <w:rsid w:val="00DF7F6E"/>
    <w:rsid w:val="00E00498"/>
    <w:rsid w:val="00E14ADB"/>
    <w:rsid w:val="00E2617A"/>
    <w:rsid w:val="00E31CD4"/>
    <w:rsid w:val="00E47778"/>
    <w:rsid w:val="00E538E6"/>
    <w:rsid w:val="00E802A2"/>
    <w:rsid w:val="00E85C0B"/>
    <w:rsid w:val="00EB13D7"/>
    <w:rsid w:val="00EB1E83"/>
    <w:rsid w:val="00EC7CF5"/>
    <w:rsid w:val="00ED08DB"/>
    <w:rsid w:val="00ED22CB"/>
    <w:rsid w:val="00ED67AF"/>
    <w:rsid w:val="00ED709D"/>
    <w:rsid w:val="00EE128C"/>
    <w:rsid w:val="00EE4C48"/>
    <w:rsid w:val="00EF66D9"/>
    <w:rsid w:val="00EF68E3"/>
    <w:rsid w:val="00EF6BA5"/>
    <w:rsid w:val="00EF780D"/>
    <w:rsid w:val="00EF7A98"/>
    <w:rsid w:val="00EF7CA2"/>
    <w:rsid w:val="00F0267E"/>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2683A1"/>
  <w15:docId w15:val="{AB80AC90-D2F7-4DD8-A0BB-8732B60F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Chapterhead">
    <w:name w:val="Chapter head"/>
    <w:qFormat/>
    <w:rsid w:val="00425727"/>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Heading2NOToC">
    <w:name w:val="Heading_2_NO_ToC"/>
    <w:basedOn w:val="Normal"/>
    <w:rsid w:val="00425727"/>
    <w:pPr>
      <w:keepNext/>
      <w:tabs>
        <w:tab w:val="clear" w:pos="1134"/>
      </w:tabs>
      <w:spacing w:before="240" w:after="240" w:line="240" w:lineRule="exact"/>
      <w:ind w:left="1124" w:hanging="1124"/>
      <w:jc w:val="left"/>
    </w:pPr>
    <w:rPr>
      <w:rFonts w:asciiTheme="minorHAnsi" w:eastAsiaTheme="minorHAnsi" w:hAnsiTheme="minorHAnsi" w:cstheme="minorBidi"/>
      <w:b/>
      <w:sz w:val="22"/>
      <w:szCs w:val="22"/>
    </w:rPr>
  </w:style>
  <w:style w:type="character" w:customStyle="1" w:styleId="BodytextChar1">
    <w:name w:val="Body_text Char"/>
    <w:basedOn w:val="DefaultParagraphFont"/>
    <w:link w:val="Bodytext1"/>
    <w:locked/>
    <w:rsid w:val="00425727"/>
    <w:rPr>
      <w:lang w:val="en-GB"/>
    </w:rPr>
  </w:style>
  <w:style w:type="paragraph" w:customStyle="1" w:styleId="Bodytext1">
    <w:name w:val="Body_text"/>
    <w:basedOn w:val="Normal"/>
    <w:link w:val="BodytextChar1"/>
    <w:qFormat/>
    <w:rsid w:val="00425727"/>
    <w:pPr>
      <w:tabs>
        <w:tab w:val="clear" w:pos="1134"/>
        <w:tab w:val="left" w:pos="1120"/>
      </w:tabs>
      <w:spacing w:after="240" w:line="240" w:lineRule="exact"/>
      <w:jc w:val="left"/>
    </w:pPr>
    <w:rPr>
      <w:rFonts w:ascii="Times New Roman" w:eastAsia="MS Mincho" w:hAnsi="Times New Roman" w:cs="Times New Roman"/>
      <w:lang w:eastAsia="zh-TW"/>
    </w:rPr>
  </w:style>
  <w:style w:type="paragraph" w:customStyle="1" w:styleId="Note">
    <w:name w:val="Note"/>
    <w:qFormat/>
    <w:rsid w:val="00425727"/>
    <w:pPr>
      <w:tabs>
        <w:tab w:val="left" w:pos="720"/>
      </w:tabs>
      <w:spacing w:after="240" w:line="200" w:lineRule="exact"/>
    </w:pPr>
    <w:rPr>
      <w:rFonts w:ascii="Verdana" w:eastAsia="Arial" w:hAnsi="Verdana" w:cs="Arial"/>
      <w:color w:val="000000" w:themeColor="text1"/>
      <w:sz w:val="16"/>
      <w:szCs w:val="22"/>
      <w:lang w:val="en-GB" w:eastAsia="en-US"/>
    </w:rPr>
  </w:style>
  <w:style w:type="character" w:customStyle="1" w:styleId="Indent1Char">
    <w:name w:val="Indent 1 Char"/>
    <w:basedOn w:val="DefaultParagraphFont"/>
    <w:link w:val="Indent1"/>
    <w:locked/>
    <w:rsid w:val="00425727"/>
    <w:rPr>
      <w:rFonts w:ascii="Verdana" w:eastAsia="Arial" w:hAnsi="Verdana" w:cs="Arial"/>
      <w:color w:val="000000" w:themeColor="text1"/>
      <w:lang w:val="en-GB"/>
    </w:rPr>
  </w:style>
  <w:style w:type="paragraph" w:customStyle="1" w:styleId="Indent1">
    <w:name w:val="Indent 1"/>
    <w:link w:val="Indent1Char"/>
    <w:qFormat/>
    <w:rsid w:val="00425727"/>
    <w:pPr>
      <w:tabs>
        <w:tab w:val="left" w:pos="480"/>
      </w:tabs>
      <w:spacing w:after="240" w:line="240" w:lineRule="exact"/>
      <w:ind w:left="480" w:hanging="480"/>
    </w:pPr>
    <w:rPr>
      <w:rFonts w:ascii="Verdana" w:eastAsia="Arial" w:hAnsi="Verdana" w:cs="Arial"/>
      <w:color w:val="000000" w:themeColor="text1"/>
      <w:lang w:val="en-GB"/>
    </w:rPr>
  </w:style>
  <w:style w:type="paragraph" w:customStyle="1" w:styleId="Indent1NOspaceafter">
    <w:name w:val="Indent 1 NO space after"/>
    <w:basedOn w:val="Indent1"/>
    <w:rsid w:val="00425727"/>
    <w:pPr>
      <w:spacing w:after="0"/>
    </w:pPr>
  </w:style>
  <w:style w:type="paragraph" w:customStyle="1" w:styleId="THEEND">
    <w:name w:val="THE END _____"/>
    <w:rsid w:val="00425727"/>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noProof/>
      <w:color w:val="000000" w:themeColor="text1"/>
      <w:szCs w:val="24"/>
      <w:lang w:val="en-GB" w:eastAsia="fr-CH"/>
    </w:rPr>
  </w:style>
  <w:style w:type="paragraph" w:customStyle="1" w:styleId="TPSSection">
    <w:name w:val="TPS Section"/>
    <w:basedOn w:val="Normal"/>
    <w:next w:val="Normal"/>
    <w:uiPriority w:val="1"/>
    <w:rsid w:val="00425727"/>
    <w:pPr>
      <w:pBdr>
        <w:top w:val="single" w:sz="4" w:space="3" w:color="auto"/>
      </w:pBdr>
      <w:shd w:val="clear" w:color="auto" w:fill="87A982"/>
      <w:tabs>
        <w:tab w:val="clear" w:pos="1134"/>
      </w:tabs>
      <w:spacing w:line="300" w:lineRule="auto"/>
      <w:jc w:val="left"/>
    </w:pPr>
    <w:rPr>
      <w:rFonts w:ascii="Arial" w:eastAsia="Times New Roman" w:hAnsi="Arial" w:cs="Times New Roman"/>
      <w:b/>
      <w:color w:val="2F275B"/>
      <w:sz w:val="18"/>
      <w:szCs w:val="24"/>
      <w:lang w:val="en-US"/>
    </w:rPr>
  </w:style>
  <w:style w:type="paragraph" w:customStyle="1" w:styleId="TPSSectionData">
    <w:name w:val="TPS Section Data"/>
    <w:basedOn w:val="Normal"/>
    <w:next w:val="Normal"/>
    <w:uiPriority w:val="1"/>
    <w:rsid w:val="00425727"/>
    <w:pPr>
      <w:shd w:val="clear" w:color="auto" w:fill="87A982"/>
      <w:tabs>
        <w:tab w:val="clear" w:pos="1134"/>
      </w:tabs>
      <w:spacing w:line="300" w:lineRule="auto"/>
      <w:jc w:val="left"/>
    </w:pPr>
    <w:rPr>
      <w:rFonts w:ascii="Arial" w:eastAsia="Times New Roman" w:hAnsi="Arial" w:cs="Times New Roman"/>
      <w:color w:val="2F275B"/>
      <w:sz w:val="18"/>
      <w:szCs w:val="24"/>
      <w:lang w:val="en-US"/>
    </w:rPr>
  </w:style>
  <w:style w:type="character" w:customStyle="1" w:styleId="Spacenon-breaking">
    <w:name w:val="Space non-breaking"/>
    <w:rsid w:val="00425727"/>
    <w:rPr>
      <w:bdr w:val="dashed" w:sz="2" w:space="0" w:color="auto" w:frame="1"/>
    </w:rPr>
  </w:style>
  <w:style w:type="paragraph" w:customStyle="1" w:styleId="TableastextNOspace">
    <w:name w:val="Table as text NO space"/>
    <w:basedOn w:val="Normal"/>
    <w:rsid w:val="00425727"/>
    <w:pPr>
      <w:tabs>
        <w:tab w:val="clear" w:pos="1134"/>
      </w:tabs>
      <w:spacing w:after="160" w:line="240" w:lineRule="exact"/>
      <w:jc w:val="left"/>
    </w:pPr>
    <w:rPr>
      <w:rFonts w:asciiTheme="minorHAnsi" w:eastAsiaTheme="minorHAnsi" w:hAnsiTheme="minorHAnsi" w:cstheme="minorBidi"/>
      <w:sz w:val="22"/>
      <w:szCs w:val="22"/>
    </w:rPr>
  </w:style>
  <w:style w:type="paragraph" w:customStyle="1" w:styleId="TPSTable">
    <w:name w:val="TPS Table"/>
    <w:basedOn w:val="Normal"/>
    <w:next w:val="Normal"/>
    <w:uiPriority w:val="1"/>
    <w:rsid w:val="00425727"/>
    <w:pPr>
      <w:pBdr>
        <w:top w:val="single" w:sz="2" w:space="3" w:color="auto"/>
      </w:pBdr>
      <w:shd w:val="clear" w:color="auto" w:fill="C0AB87"/>
      <w:tabs>
        <w:tab w:val="clear" w:pos="1134"/>
      </w:tabs>
      <w:spacing w:after="160" w:line="300" w:lineRule="auto"/>
      <w:jc w:val="left"/>
    </w:pPr>
    <w:rPr>
      <w:rFonts w:ascii="Arial" w:eastAsia="Times New Roman" w:hAnsi="Arial" w:cs="Times New Roman"/>
      <w:b/>
      <w:color w:val="2F275B"/>
      <w:sz w:val="18"/>
      <w:szCs w:val="22"/>
    </w:rPr>
  </w:style>
  <w:style w:type="paragraph" w:customStyle="1" w:styleId="Keepnextbodytext">
    <w:name w:val="Keep_next_body_text"/>
    <w:basedOn w:val="Normal"/>
    <w:rsid w:val="00425727"/>
    <w:pPr>
      <w:tabs>
        <w:tab w:val="clear" w:pos="1134"/>
      </w:tabs>
      <w:spacing w:after="160" w:line="256" w:lineRule="auto"/>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52036788">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339312944">
      <w:bodyDiv w:val="1"/>
      <w:marLeft w:val="0"/>
      <w:marRight w:val="0"/>
      <w:marTop w:val="0"/>
      <w:marBottom w:val="0"/>
      <w:divBdr>
        <w:top w:val="none" w:sz="0" w:space="0" w:color="auto"/>
        <w:left w:val="none" w:sz="0" w:space="0" w:color="auto"/>
        <w:bottom w:val="none" w:sz="0" w:space="0" w:color="auto"/>
        <w:right w:val="none" w:sz="0" w:space="0" w:color="auto"/>
      </w:divBdr>
    </w:div>
    <w:div w:id="1353073416">
      <w:bodyDiv w:val="1"/>
      <w:marLeft w:val="0"/>
      <w:marRight w:val="0"/>
      <w:marTop w:val="0"/>
      <w:marBottom w:val="0"/>
      <w:divBdr>
        <w:top w:val="none" w:sz="0" w:space="0" w:color="auto"/>
        <w:left w:val="none" w:sz="0" w:space="0" w:color="auto"/>
        <w:bottom w:val="none" w:sz="0" w:space="0" w:color="auto"/>
        <w:right w:val="none" w:sz="0" w:space="0" w:color="auto"/>
      </w:divBdr>
    </w:div>
    <w:div w:id="1354695746">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631206742">
      <w:bodyDiv w:val="1"/>
      <w:marLeft w:val="0"/>
      <w:marRight w:val="0"/>
      <w:marTop w:val="0"/>
      <w:marBottom w:val="0"/>
      <w:divBdr>
        <w:top w:val="none" w:sz="0" w:space="0" w:color="auto"/>
        <w:left w:val="none" w:sz="0" w:space="0" w:color="auto"/>
        <w:bottom w:val="none" w:sz="0" w:space="0" w:color="auto"/>
        <w:right w:val="none" w:sz="0" w:space="0" w:color="auto"/>
      </w:divBdr>
    </w:div>
    <w:div w:id="1641114237">
      <w:bodyDiv w:val="1"/>
      <w:marLeft w:val="0"/>
      <w:marRight w:val="0"/>
      <w:marTop w:val="0"/>
      <w:marBottom w:val="0"/>
      <w:divBdr>
        <w:top w:val="none" w:sz="0" w:space="0" w:color="auto"/>
        <w:left w:val="none" w:sz="0" w:space="0" w:color="auto"/>
        <w:bottom w:val="none" w:sz="0" w:space="0" w:color="auto"/>
        <w:right w:val="none" w:sz="0" w:space="0" w:color="auto"/>
      </w:divBdr>
    </w:div>
    <w:div w:id="1942568630">
      <w:bodyDiv w:val="1"/>
      <w:marLeft w:val="0"/>
      <w:marRight w:val="0"/>
      <w:marTop w:val="0"/>
      <w:marBottom w:val="0"/>
      <w:divBdr>
        <w:top w:val="none" w:sz="0" w:space="0" w:color="auto"/>
        <w:left w:val="none" w:sz="0" w:space="0" w:color="auto"/>
        <w:bottom w:val="none" w:sz="0" w:space="0" w:color="auto"/>
        <w:right w:val="none" w:sz="0" w:space="0" w:color="auto"/>
      </w:divBdr>
    </w:div>
    <w:div w:id="19865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wmo.int/doc_num.php?explnum_id=110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wmo.int/?lvl=notice_display&amp;id=1279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lvl=notice_display&amp;id=127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C997-AFE9-4FD5-8B67-4DD00902483D}">
  <ds:schemaRefs>
    <ds:schemaRef ds:uri="http://www.w3.org/XML/1998/namespace"/>
    <ds:schemaRef ds:uri="http://schemas.microsoft.com/office/infopath/2007/PartnerControls"/>
    <ds:schemaRef ds:uri="http://purl.org/dc/elements/1.1/"/>
    <ds:schemaRef ds:uri="3679bf0f-1d7e-438f-afa5-6ebf1e20f9b8"/>
    <ds:schemaRef ds:uri="http://schemas.microsoft.com/office/2006/documentManagement/types"/>
    <ds:schemaRef ds:uri="http://schemas.openxmlformats.org/package/2006/metadata/core-properties"/>
    <ds:schemaRef ds:uri="http://purl.org/dc/dcmitype/"/>
    <ds:schemaRef ds:uri="http://purl.org/dc/terms/"/>
    <ds:schemaRef ds:uri="ce21bc6c-711a-4065-a01c-a8f0e29e3ad8"/>
    <ds:schemaRef ds:uri="http://schemas.microsoft.com/office/2006/metadata/properties"/>
  </ds:schemaRefs>
</ds:datastoreItem>
</file>

<file path=customXml/itemProps2.xml><?xml version="1.0" encoding="utf-8"?>
<ds:datastoreItem xmlns:ds="http://schemas.openxmlformats.org/officeDocument/2006/customXml" ds:itemID="{8A6ED381-25AA-491D-A8F3-159D9D74E4E2}"/>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4F6BC612-AB10-4368-B34F-E7E99DC7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58</TotalTime>
  <Pages>6</Pages>
  <Words>1559</Words>
  <Characters>9220</Characters>
  <Application>Microsoft Office Word</Application>
  <DocSecurity>0</DocSecurity>
  <Lines>213</Lines>
  <Paragraphs>98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10701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Elena Vicente</cp:lastModifiedBy>
  <cp:revision>35</cp:revision>
  <cp:lastPrinted>2013-03-12T09:27:00Z</cp:lastPrinted>
  <dcterms:created xsi:type="dcterms:W3CDTF">2023-01-27T06:41:00Z</dcterms:created>
  <dcterms:modified xsi:type="dcterms:W3CDTF">2023-01-31T09:02:00Z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